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C4" w:rsidRPr="00AF5CC4" w:rsidRDefault="00AF5CC4" w:rsidP="00990928">
      <w:pPr>
        <w:spacing w:line="240" w:lineRule="auto"/>
        <w:ind w:left="0" w:firstLine="567"/>
        <w:jc w:val="center"/>
        <w:rPr>
          <w:b/>
        </w:rPr>
      </w:pPr>
      <w:r w:rsidRPr="00AF5CC4">
        <w:rPr>
          <w:b/>
        </w:rPr>
        <w:t>Указания</w:t>
      </w:r>
    </w:p>
    <w:p w:rsidR="00AF5CC4" w:rsidRPr="00AF5CC4" w:rsidRDefault="00AF5CC4" w:rsidP="00990928">
      <w:pPr>
        <w:spacing w:line="240" w:lineRule="auto"/>
        <w:ind w:left="0" w:firstLine="567"/>
        <w:jc w:val="center"/>
        <w:rPr>
          <w:b/>
        </w:rPr>
      </w:pPr>
      <w:r w:rsidRPr="00AF5CC4">
        <w:rPr>
          <w:b/>
        </w:rPr>
        <w:t>по заполнению формы федерального статистического наблюдения</w:t>
      </w:r>
    </w:p>
    <w:p w:rsidR="00AF5CC4" w:rsidRDefault="00AF5CC4" w:rsidP="00990928">
      <w:pPr>
        <w:spacing w:line="240" w:lineRule="auto"/>
        <w:ind w:left="0" w:firstLine="567"/>
      </w:pPr>
      <w:r>
        <w:t xml:space="preserve">1. Сведения по форме федерального статистического наблюдения </w:t>
      </w:r>
      <w:r w:rsidRPr="00AF5CC4">
        <w:rPr>
          <w:b/>
        </w:rPr>
        <w:t>N 7-ГР</w:t>
      </w:r>
      <w:r>
        <w:t xml:space="preserve"> предоставляют юридические лица независимо от формы собственности, осуществляющие геологоразведочные работы.</w:t>
      </w:r>
    </w:p>
    <w:p w:rsidR="00AF5CC4" w:rsidRDefault="00AF5CC4" w:rsidP="00990928">
      <w:pPr>
        <w:spacing w:line="240" w:lineRule="auto"/>
        <w:ind w:left="0" w:firstLine="567"/>
      </w:pPr>
      <w:r>
        <w:t>Первичные статистические данные по разделам 1 и 2 предоставляются ежеквартально нарастающим итогом за период с начала отчетного года, а по разделу 3 - один раз за отчетный год.</w:t>
      </w:r>
    </w:p>
    <w:p w:rsidR="00AF5CC4" w:rsidRDefault="00AF5CC4" w:rsidP="00990928">
      <w:pPr>
        <w:spacing w:line="240" w:lineRule="auto"/>
        <w:ind w:left="0" w:firstLine="567"/>
      </w:pPr>
      <w:r>
        <w:t>При налич</w:t>
      </w:r>
      <w:proofErr w:type="gramStart"/>
      <w:r>
        <w:t>ии у ю</w:t>
      </w:r>
      <w:proofErr w:type="gramEnd"/>
      <w:r>
        <w:t>ридического лица обособленных подразделений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AF5CC4" w:rsidRDefault="00AF5CC4" w:rsidP="00990928">
      <w:pPr>
        <w:spacing w:line="240" w:lineRule="auto"/>
        <w:ind w:left="0" w:firstLine="567"/>
      </w:pPr>
      <w:r>
        <w:t xml:space="preserve">Заполненные формы предоставляются юридическим лицом в территориальные органы </w:t>
      </w:r>
      <w:proofErr w:type="spellStart"/>
      <w:r>
        <w:t>Роснедр</w:t>
      </w:r>
      <w:proofErr w:type="spellEnd"/>
      <w:r>
        <w:t xml:space="preserve">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по месту своего нахождения, форма предоставляется по месту фактического осуществления ими деятельности.</w:t>
      </w:r>
    </w:p>
    <w:p w:rsidR="00AF5CC4" w:rsidRDefault="00AF5CC4" w:rsidP="00990928">
      <w:pPr>
        <w:spacing w:line="240" w:lineRule="auto"/>
        <w:ind w:left="0" w:firstLine="567"/>
      </w:pPr>
      <w: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оно предоставляет форму в территориальные органы </w:t>
      </w:r>
      <w:proofErr w:type="spellStart"/>
      <w:r>
        <w:t>Роснедр</w:t>
      </w:r>
      <w:proofErr w:type="spellEnd"/>
      <w:r>
        <w:t xml:space="preserve"> по месту своего нахождения, в случае, когда обособленное подразделение не осуществляет деятельность по месту своего нахождения, форма предоставляется по месту фактического осуществления деятельности. При этом обособленным подразделением в кодовой части формы указывается код ОКПО (для филиала) или идентифицированный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AF5CC4" w:rsidRDefault="00AF5CC4" w:rsidP="00990928">
      <w:pPr>
        <w:spacing w:line="240" w:lineRule="auto"/>
        <w:ind w:left="0" w:firstLine="567"/>
      </w:pPr>
      <w:r>
        <w:t xml:space="preserve">При проведении работ на территориях двух или более субъектов Российской Федерации форма составляется раздельно по каждому из них и предоставляется в соответствующий территориальный орган </w:t>
      </w:r>
      <w:proofErr w:type="spellStart"/>
      <w:r>
        <w:t>Роснедр</w:t>
      </w:r>
      <w:proofErr w:type="spellEnd"/>
      <w:r>
        <w:t xml:space="preserve"> и сводная (суммарная форма) по всем субъектам - в </w:t>
      </w:r>
      <w:proofErr w:type="spellStart"/>
      <w:r>
        <w:t>Роснедра</w:t>
      </w:r>
      <w:proofErr w:type="spellEnd"/>
      <w:r>
        <w:t xml:space="preserve"> по указанному им адресу.</w:t>
      </w:r>
    </w:p>
    <w:p w:rsidR="00AF5CC4" w:rsidRDefault="00AF5CC4" w:rsidP="00990928">
      <w:pPr>
        <w:spacing w:line="240" w:lineRule="auto"/>
        <w:ind w:left="0" w:firstLine="567"/>
      </w:pPr>
      <w:r>
        <w:t xml:space="preserve">Организации, проводящие геологоразведочные работы на территориях, не относящиеся ни к одному из субъектов Российской Федерации, отправляют отчеты в </w:t>
      </w:r>
      <w:proofErr w:type="spellStart"/>
      <w:r>
        <w:t>Роснедра</w:t>
      </w:r>
      <w:proofErr w:type="spellEnd"/>
      <w:r>
        <w:t xml:space="preserve"> по указанному им адресу.</w:t>
      </w:r>
    </w:p>
    <w:p w:rsidR="00AF5CC4" w:rsidRDefault="00AF5CC4" w:rsidP="00990928">
      <w:pPr>
        <w:spacing w:line="240" w:lineRule="auto"/>
        <w:ind w:left="0" w:firstLine="567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AF5CC4" w:rsidRDefault="00AF5CC4" w:rsidP="00990928">
      <w:pPr>
        <w:spacing w:line="240" w:lineRule="auto"/>
        <w:ind w:left="0" w:firstLine="567"/>
      </w:pPr>
      <w:proofErr w:type="gramStart"/>
      <w:r>
        <w:t>В отчет включаются объемы выполненных геологоразведочных работ: поисково-съемочные и разведочные работы; региональные геолого-съемочные, гидрогеологические, геофизические, специальные работы; изучение континентального шельфа Российской Федерации, Морской исключительной экономической зоны Российской Федерации и дна Мирового океана, территории Арктики и Антарктики, а также работы, проводимые на территории зарубежных стран, научно-исследовательские, опытно-конструкторские работы, охрана подземных вод и ведение государственного мониторинга геологической среды;</w:t>
      </w:r>
      <w:proofErr w:type="gramEnd"/>
      <w:r>
        <w:t xml:space="preserve"> </w:t>
      </w:r>
      <w:proofErr w:type="gramStart"/>
      <w:r>
        <w:t xml:space="preserve">содержание центрального аппарата Федерального агентства по </w:t>
      </w:r>
      <w:proofErr w:type="spellStart"/>
      <w:r>
        <w:t>недропользованию</w:t>
      </w:r>
      <w:proofErr w:type="spellEnd"/>
      <w:r>
        <w:t xml:space="preserve"> и его территориальных органов в части государственного управления геологической деятельностью; ведение территориальных и Федерального геологических фондов и единой информационной системы по изученности и использованию недр, затраты по геологическому контролю, государственной экспертизе полезных ископаемых; строительство и обустройство вахтовых и базовых поселков и баз; содержание социальной сферы и обеспечение рабочего снабжения работников геологоразведочных организаций;</w:t>
      </w:r>
      <w:proofErr w:type="gramEnd"/>
      <w:r>
        <w:t xml:space="preserve"> содержание военизированных частей по предупреждению и ликвидации фонтанов и скважин (ВПЧ); ликвидация предприятий или их обособленных подразделений; рекультивация нарушенных земель и другие работы, связанные с геологическим изучением недр, инновационные геологоразведочные работы.</w:t>
      </w:r>
    </w:p>
    <w:p w:rsidR="00AF5CC4" w:rsidRDefault="00AF5CC4" w:rsidP="00990928">
      <w:pPr>
        <w:spacing w:line="240" w:lineRule="auto"/>
        <w:ind w:left="0" w:firstLine="567"/>
      </w:pPr>
      <w:r>
        <w:lastRenderedPageBreak/>
        <w:t>Геологоразведочные работы, обеспечивающие добычу полезных ископаемых и непосредственно связанные с эксплуатационной деятельностью горнодобывающего предприятия (рудничная, шахтная и промысловая геологическая служба), относятся к основной деятельности рудника (шахты, предприятия) и в отчетность по указанной форме не включаются.</w:t>
      </w:r>
    </w:p>
    <w:p w:rsidR="00AF5CC4" w:rsidRDefault="00AF5CC4" w:rsidP="00990928">
      <w:pPr>
        <w:spacing w:line="240" w:lineRule="auto"/>
        <w:ind w:left="0" w:firstLine="567"/>
      </w:pPr>
      <w:r>
        <w:t>При проведении геологоразведочных работ подрядным способом первичные статистические данные по форме предоставляет организация, являющаяся заказчиком этих работ. В случае, когда заказчик (юридическое лицо) не является геологоразведочной организацией, первичные статистические данные формы по выполненному объему работ предоставляет подрядная организация, показывая эти работы как выполненные собственными силами.</w:t>
      </w:r>
    </w:p>
    <w:p w:rsidR="00AF5CC4" w:rsidRDefault="00AF5CC4" w:rsidP="00990928">
      <w:pPr>
        <w:spacing w:line="240" w:lineRule="auto"/>
        <w:ind w:left="0" w:firstLine="567"/>
      </w:pPr>
      <w:r>
        <w:t>2. 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AF5CC4" w:rsidRDefault="00AF5CC4" w:rsidP="00990928">
      <w:pPr>
        <w:spacing w:line="240" w:lineRule="auto"/>
        <w:ind w:left="0" w:firstLine="567"/>
      </w:pPr>
      <w:proofErr w:type="gramStart"/>
      <w:r>
        <w:t>По строке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</w:t>
      </w:r>
      <w:proofErr w:type="gramEnd"/>
      <w:r>
        <w:t xml:space="preserve"> Для обособленных подразделений, не имеющих юридического адреса, указывается почтовый адрес с почтовым индексом.</w:t>
      </w:r>
    </w:p>
    <w:p w:rsidR="00AF5CC4" w:rsidRDefault="00AF5CC4" w:rsidP="00990928">
      <w:pPr>
        <w:spacing w:line="240" w:lineRule="auto"/>
        <w:ind w:left="0" w:firstLine="567"/>
      </w:pPr>
      <w:r>
        <w:t>Отчитывающаяся организация проставляет в адресной части формы код Общероссийского классификатора предприятий и организаций ОКПО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AF5CC4" w:rsidRDefault="00AF5CC4" w:rsidP="00990928">
      <w:pPr>
        <w:spacing w:line="240" w:lineRule="auto"/>
        <w:ind w:left="0" w:firstLine="567"/>
      </w:pPr>
      <w:r>
        <w:t>По территориально обособленным подразделениям юридического лица указывается идентификационный номер, который устанавливается территориальным органом Росстата по месту расположения территориально обособленного подразделения.</w:t>
      </w:r>
    </w:p>
    <w:p w:rsidR="00AF5CC4" w:rsidRDefault="00AF5CC4" w:rsidP="00990928">
      <w:pPr>
        <w:spacing w:line="240" w:lineRule="auto"/>
        <w:ind w:left="0" w:firstLine="567"/>
      </w:pPr>
      <w:r>
        <w:t>Данные формы N 7-ГР заполняются на основании данных первичного учета геологоразведочных работ; геологических и производственных учетов, актов на обмер и выполнение работ, бухгалтерских учетов.</w:t>
      </w:r>
    </w:p>
    <w:p w:rsidR="00AF5CC4" w:rsidRDefault="00AF5CC4" w:rsidP="00990928">
      <w:pPr>
        <w:spacing w:line="240" w:lineRule="auto"/>
        <w:ind w:left="0" w:firstLine="567"/>
      </w:pPr>
      <w:r>
        <w:t>3. Заполнение Раздела 1 бланка формы.</w:t>
      </w:r>
    </w:p>
    <w:p w:rsidR="00AF5CC4" w:rsidRDefault="00AF5CC4" w:rsidP="00990928">
      <w:pPr>
        <w:spacing w:line="240" w:lineRule="auto"/>
        <w:ind w:left="0" w:firstLine="567"/>
      </w:pPr>
      <w:r>
        <w:t>В разделе 1 "Сведения о геологоразведочных работах по видам полезных ископаемых" отражается весь выполненный объем геологоразведочных работ независимо от источников их финансирования (федеральный бюджет, бюджет субъектов Российской Федерации, муниципальный бюджет, собственные средства организаций, инвестиции отечественных и зарубежных инвесторов, кредиты банков и др.).</w:t>
      </w:r>
    </w:p>
    <w:p w:rsidR="00AF5CC4" w:rsidRDefault="00AF5CC4" w:rsidP="00990928">
      <w:pPr>
        <w:spacing w:line="240" w:lineRule="auto"/>
        <w:ind w:left="0" w:firstLine="567"/>
      </w:pPr>
      <w:r>
        <w:t>Перечень полезных ископаемых приведен в соответствии с Долгосрочной государственной программой изучения недр и воспроизводства минерально-сырьевой базы России на основе баланса потребления и воспроизводства минерального сырья (утв. приказом Минприроды России от 16 июля 2008 г. N 151).</w:t>
      </w:r>
    </w:p>
    <w:p w:rsidR="00AF5CC4" w:rsidRDefault="00AF5CC4" w:rsidP="00990928">
      <w:pPr>
        <w:spacing w:line="240" w:lineRule="auto"/>
        <w:ind w:left="0" w:firstLine="567"/>
      </w:pPr>
      <w:r>
        <w:t xml:space="preserve">Объемы геологоразведочных работ в данном разделе указываются в </w:t>
      </w:r>
      <w:proofErr w:type="gramStart"/>
      <w:r>
        <w:t>тысячах рублей</w:t>
      </w:r>
      <w:proofErr w:type="gramEnd"/>
      <w:r>
        <w:t xml:space="preserve"> (с одним десятичным знаком).</w:t>
      </w:r>
    </w:p>
    <w:p w:rsidR="00AF5CC4" w:rsidRDefault="00AF5CC4" w:rsidP="00990928">
      <w:pPr>
        <w:spacing w:line="240" w:lineRule="auto"/>
        <w:ind w:left="0" w:firstLine="567"/>
      </w:pPr>
      <w:r>
        <w:t>В строке 101 учитываются работы, выполненные за счет всех источников финансирования, договорные и подрядные работы с учетом всех налогов за отчетный период (с учетом НДС и других налогов).</w:t>
      </w:r>
    </w:p>
    <w:p w:rsidR="00AF5CC4" w:rsidRDefault="00AF5CC4" w:rsidP="00990928">
      <w:pPr>
        <w:spacing w:line="240" w:lineRule="auto"/>
        <w:ind w:left="0" w:firstLine="567"/>
      </w:pPr>
      <w:r>
        <w:t>В разделе 1 показываются затраты на выполнение геологоразведочных работ (поисковые и разведочные работы) отдельно по каждой группе полезных ископаемых (топливно-энергетические ресурсы, черные, цветные и редкие металлы и т.д.), по отдельным полезным ископаемым внутри этих групп.</w:t>
      </w:r>
    </w:p>
    <w:p w:rsidR="00AF5CC4" w:rsidRDefault="00AF5CC4" w:rsidP="00990928">
      <w:pPr>
        <w:spacing w:line="240" w:lineRule="auto"/>
        <w:ind w:left="0" w:firstLine="567"/>
      </w:pPr>
      <w:r>
        <w:t xml:space="preserve">В строках 102  115 "Топливно-энергетическое сырье" данного раздела указываются все затраты на геологоразведочные работы на нефть, газ и конденсат (включая глубокое разведочное бурение), с выделением затрат на работы, проведенные на шельфе (строки </w:t>
      </w:r>
      <w:r>
        <w:lastRenderedPageBreak/>
        <w:t>106  108) и на нетрадиционные источники углеводородного сырья (строки 109  112). В строке 113 приведены затраты на геологоразведочные работы на уголь, в строке 114 - на уран и в строке 115 - на горючие сланцы и торф.</w:t>
      </w:r>
    </w:p>
    <w:p w:rsidR="00AF5CC4" w:rsidRDefault="00AF5CC4" w:rsidP="00990928">
      <w:pPr>
        <w:spacing w:line="240" w:lineRule="auto"/>
        <w:ind w:left="0" w:firstLine="567"/>
      </w:pPr>
      <w:r>
        <w:t>В строках 116  142 приведены затраты на геологоразведочные работы на черные (строка 117), цветные (строка 123), легирующие (строка 134) и редкие металлы (строка 140 с выделением редкоземельных металлов - строка 141 и прочих - строка 142).</w:t>
      </w:r>
    </w:p>
    <w:p w:rsidR="00AF5CC4" w:rsidRDefault="00AF5CC4" w:rsidP="00990928">
      <w:pPr>
        <w:spacing w:line="240" w:lineRule="auto"/>
        <w:ind w:left="0" w:firstLine="567"/>
      </w:pPr>
      <w:r>
        <w:t>В строке 133 (прочие цветные металлы) включены цветные металлы, не учтенные в форме отдельной строкой.</w:t>
      </w:r>
    </w:p>
    <w:p w:rsidR="00AF5CC4" w:rsidRDefault="00AF5CC4" w:rsidP="00990928">
      <w:pPr>
        <w:spacing w:line="240" w:lineRule="auto"/>
        <w:ind w:left="0" w:firstLine="567"/>
      </w:pPr>
      <w:r>
        <w:t>В строках с 143 по 147 приведены затраты на геологоразведочные работы на благородные металлы (строка 143), в том числе: золото (строка 144), серебро (строка 145), металлы платиновой группы (строка 146) и алмазы (строка 147).</w:t>
      </w:r>
    </w:p>
    <w:p w:rsidR="00AF5CC4" w:rsidRDefault="00AF5CC4" w:rsidP="00990928">
      <w:pPr>
        <w:spacing w:line="240" w:lineRule="auto"/>
        <w:ind w:left="0" w:firstLine="567"/>
      </w:pPr>
      <w:r>
        <w:t>В строке 148 "Неметаллы" включают затраты на геологоразведочные работы на все виды неметаллических полезных ископаемых: агрохимическое, пьезооптическое, цементное и др.</w:t>
      </w:r>
    </w:p>
    <w:p w:rsidR="00AF5CC4" w:rsidRDefault="00AF5CC4" w:rsidP="00990928">
      <w:pPr>
        <w:spacing w:line="240" w:lineRule="auto"/>
        <w:ind w:left="0" w:firstLine="567"/>
      </w:pPr>
      <w:r>
        <w:t>В строке 164 "Подземные воды" приводятся данные о выполненных геологоразведочных работах по всем видам подземных вод (питьевые - строка 165, технические - строка 166, минеральные лечебные - строка 167, теплоэнергетические - строка 168 и промышленные воды - строка 169).</w:t>
      </w:r>
    </w:p>
    <w:p w:rsidR="00AF5CC4" w:rsidRDefault="00AF5CC4" w:rsidP="00990928">
      <w:pPr>
        <w:spacing w:line="240" w:lineRule="auto"/>
        <w:ind w:left="0" w:firstLine="567"/>
      </w:pPr>
      <w:r>
        <w:t>4. Заполнение Раздела 2 бланка формы.</w:t>
      </w:r>
    </w:p>
    <w:p w:rsidR="00AF5CC4" w:rsidRDefault="00AF5CC4" w:rsidP="00990928">
      <w:pPr>
        <w:spacing w:line="240" w:lineRule="auto"/>
        <w:ind w:left="0" w:firstLine="567"/>
      </w:pPr>
      <w:proofErr w:type="gramStart"/>
      <w:r>
        <w:t>В разделе 2 "Сведения о геологоразведочных работах по их видам" показывается выполненный объем геологоразведочных работ отдельно по их видам (например, региональное геологическое изучение недр, геолого-геофизические работы по прогнозу землетрясений, морские работы и т.д.) за счет всех источников финансирования (федеральный бюджет, бюджет субъектов Российской Федерации, муниципальный бюджет, собственные средства предприятий, инвестиции отечественных и зарубежных инвесторов, кредиты банков и др.) и</w:t>
      </w:r>
      <w:proofErr w:type="gramEnd"/>
      <w:r>
        <w:t xml:space="preserve"> отдельно за счет средств, выделенных из бюджета Российской Федерации (графа 4).</w:t>
      </w:r>
    </w:p>
    <w:p w:rsidR="00AF5CC4" w:rsidRDefault="00AF5CC4" w:rsidP="00990928">
      <w:pPr>
        <w:spacing w:line="240" w:lineRule="auto"/>
        <w:ind w:left="0" w:firstLine="567"/>
      </w:pPr>
      <w:r>
        <w:t xml:space="preserve">Объемы геологоразведочных работ в данном разделе указываются в </w:t>
      </w:r>
      <w:proofErr w:type="gramStart"/>
      <w:r>
        <w:t>тысячах рублей</w:t>
      </w:r>
      <w:proofErr w:type="gramEnd"/>
      <w:r>
        <w:t xml:space="preserve"> (с одним десятичным знаком).</w:t>
      </w:r>
    </w:p>
    <w:p w:rsidR="00AF5CC4" w:rsidRDefault="00AF5CC4" w:rsidP="00990928">
      <w:pPr>
        <w:spacing w:line="240" w:lineRule="auto"/>
        <w:ind w:left="0" w:firstLine="567"/>
      </w:pPr>
      <w:r>
        <w:t>В строке 201 "Региональное геологическое изучение недр" приводятся данные о выполненных работах, включающих затраты на функционально связанный, строго регламентированный разномасштабный ряд картосоставительских, геолого-съемочных, геофизических и других работ, а также затраты на создание государственной сети опорных геолого-геофизических профилей, параметрических и сверхглубоких скважин.</w:t>
      </w:r>
    </w:p>
    <w:p w:rsidR="00AF5CC4" w:rsidRDefault="00AF5CC4" w:rsidP="00990928">
      <w:pPr>
        <w:spacing w:line="240" w:lineRule="auto"/>
        <w:ind w:left="0" w:firstLine="567"/>
      </w:pPr>
      <w:proofErr w:type="gramStart"/>
      <w:r>
        <w:t xml:space="preserve">В строках 202, 203, 204 "Сводное и обзорное картографирование", "Геологическое картографирование масштаба 1:1000000", "Региональные </w:t>
      </w:r>
      <w:proofErr w:type="spellStart"/>
      <w:r>
        <w:t>геологосъемочные</w:t>
      </w:r>
      <w:proofErr w:type="spellEnd"/>
      <w:r>
        <w:t xml:space="preserve"> работы масштаба 1:200000" приведены затраты на составление сводных и обзорных аналоговых и цифровых карт геологического содержания и базы данных на территорию Российской Федерации масштаба 1:2500000, 1:10000000, 1:500000 с врезками более крупных масштабов, геологическое картографирование масштаба 1:1000000, региональные </w:t>
      </w:r>
      <w:proofErr w:type="spellStart"/>
      <w:r>
        <w:t>геологосъемочные</w:t>
      </w:r>
      <w:proofErr w:type="spellEnd"/>
      <w:r>
        <w:t xml:space="preserve"> работы</w:t>
      </w:r>
      <w:proofErr w:type="gramEnd"/>
      <w:r>
        <w:t xml:space="preserve"> масштаба 1:200000 - на суше; в Арктике, Антарктике и на шельфе морей Российской Федерации - затраты на комплексные геолого-геофизические исследования горных районов Антарктиды, морские геофизические исследования на континентальной окраине Антарктиды, изучение арктического и Дальневосточного шельфов.</w:t>
      </w:r>
    </w:p>
    <w:p w:rsidR="00AF5CC4" w:rsidRDefault="00AF5CC4" w:rsidP="00990928">
      <w:pPr>
        <w:spacing w:line="240" w:lineRule="auto"/>
        <w:ind w:left="0" w:firstLine="567"/>
      </w:pPr>
      <w:r>
        <w:t xml:space="preserve">В строке 205 "Геолого-геофизические работы по прогнозу землетрясений" приводятся затраты на сейсморазведку, включая взрывную, бурение взрывных скважин для сейсморазведки, электроразведку, </w:t>
      </w:r>
      <w:proofErr w:type="spellStart"/>
      <w:r>
        <w:t>гравиразведку</w:t>
      </w:r>
      <w:proofErr w:type="spellEnd"/>
      <w:r>
        <w:t xml:space="preserve">, магниторазведку наземную. Выполнение геофизических работ учитывается по полной стоимости всех видов работ, включая полевые геофизические, </w:t>
      </w:r>
      <w:proofErr w:type="spellStart"/>
      <w:r>
        <w:t>каротажно-перфораторные</w:t>
      </w:r>
      <w:proofErr w:type="spellEnd"/>
      <w:r>
        <w:t xml:space="preserve"> работы, проектирование, организационно-ликвидационные, транспортные, топографо-геодезические, </w:t>
      </w:r>
      <w:proofErr w:type="spellStart"/>
      <w:r>
        <w:t>геологосъемочные</w:t>
      </w:r>
      <w:proofErr w:type="spellEnd"/>
      <w:r>
        <w:t>, горно-буровые, камеральные и другие работы, выполненные за счет выделенных средств на геофизические исследования.</w:t>
      </w:r>
    </w:p>
    <w:p w:rsidR="00AF5CC4" w:rsidRDefault="00AF5CC4" w:rsidP="00990928">
      <w:pPr>
        <w:spacing w:line="240" w:lineRule="auto"/>
        <w:ind w:left="0" w:firstLine="567"/>
      </w:pPr>
      <w:r>
        <w:lastRenderedPageBreak/>
        <w:t>В строке 206 "Мониторинг состояния геологической среды" приводятся все затраты, связанные с созданием региональной сети регистрации и контроля за подземными водами и наблюдением за состоянием подземных вод (строка 207), наблюдения за развитием экзогенных геологических процессов (строка 208).</w:t>
      </w:r>
    </w:p>
    <w:p w:rsidR="00AF5CC4" w:rsidRDefault="00AF5CC4" w:rsidP="00990928">
      <w:pPr>
        <w:spacing w:line="240" w:lineRule="auto"/>
        <w:ind w:left="0" w:firstLine="567"/>
      </w:pPr>
      <w:proofErr w:type="gramStart"/>
      <w:r>
        <w:t>В строке 209 "Морские работы" приводятся суммарные затраты на региональные морские работы по изучению Мирового океана, а также континентального шельфа в исключительной экономической зоне Российской Федерации в соответствии с Конвенцией ООН по Морскому праву и "Морской доктрины Российской Федерации на период до 2020 года", утвержденной Президентом Российской Федерации 27 июля 2001 г. N 1387.</w:t>
      </w:r>
      <w:proofErr w:type="gramEnd"/>
      <w:r>
        <w:t xml:space="preserve"> В строке 210 отдельно представлены затраты на работы в Мировом океане.</w:t>
      </w:r>
    </w:p>
    <w:p w:rsidR="00AF5CC4" w:rsidRDefault="00AF5CC4" w:rsidP="00990928">
      <w:pPr>
        <w:spacing w:line="240" w:lineRule="auto"/>
        <w:ind w:left="0" w:firstLine="567"/>
      </w:pPr>
      <w:r>
        <w:t>В строке 211 "Работы специального геологического назначения" приводятся данные о затратах на работы, выполняемые по специальному указанию Правительства Российской Федерации или иных правительственных органов (специальные военно-геологические - строка 212, гравиметрические - строка 213).</w:t>
      </w:r>
    </w:p>
    <w:p w:rsidR="00AF5CC4" w:rsidRDefault="00AF5CC4" w:rsidP="00990928">
      <w:pPr>
        <w:spacing w:line="240" w:lineRule="auto"/>
        <w:ind w:left="0" w:firstLine="567"/>
      </w:pPr>
      <w:r>
        <w:t xml:space="preserve">В строке 214 "Государственное геологическое информационное обеспечение </w:t>
      </w:r>
      <w:proofErr w:type="spellStart"/>
      <w:r>
        <w:t>недропользования</w:t>
      </w:r>
      <w:proofErr w:type="spellEnd"/>
      <w:r>
        <w:t>" учитываются затраты на создание и функционирование федеральных, региональных и специализированных информационных компьютерных центров, затраты на сбор и хранение информационных коллекционных материалов, т.е. затраты на содержание музеев и технических библиотек.</w:t>
      </w:r>
    </w:p>
    <w:p w:rsidR="00AF5CC4" w:rsidRDefault="00AF5CC4" w:rsidP="00990928">
      <w:pPr>
        <w:spacing w:line="240" w:lineRule="auto"/>
        <w:ind w:left="0" w:firstLine="567"/>
      </w:pPr>
      <w:r>
        <w:t>В строке 215 "Научно-исследовательские и опытно-конструкторские работы" приводятся затраты на работы, обосновывающие постановку и проведение будущих геологоразведочных работ, учитываются научные разработки, направленные на фундаментальные исследования в области наук о Земле.</w:t>
      </w:r>
    </w:p>
    <w:p w:rsidR="00AF5CC4" w:rsidRDefault="00AF5CC4" w:rsidP="00990928">
      <w:pPr>
        <w:spacing w:line="240" w:lineRule="auto"/>
        <w:ind w:left="0" w:firstLine="567"/>
      </w:pPr>
      <w:r>
        <w:t>В строке 216 показываются затраты на "Тематические и опытно-методические работы, связанные с геологическим изучением недр и воспроизводством минерально-сырьевой базы", в том числе на углеводородное сырье (строка 217).</w:t>
      </w:r>
    </w:p>
    <w:p w:rsidR="00AF5CC4" w:rsidRDefault="00AF5CC4" w:rsidP="00990928">
      <w:pPr>
        <w:spacing w:line="240" w:lineRule="auto"/>
        <w:ind w:left="0" w:firstLine="567"/>
      </w:pPr>
      <w:r>
        <w:t>В строке 218 "Лабораторные работы" показываются объемы работ, выполненные лабораториями геологоразведочных партий, экспедиций, предприятий и центральными лабораториями геологических организаций по лабораторным исследованиям полезных ископаемых и горных пород, а также подрядные лабораторные исследования.</w:t>
      </w:r>
    </w:p>
    <w:p w:rsidR="00AF5CC4" w:rsidRDefault="00AF5CC4" w:rsidP="00990928">
      <w:pPr>
        <w:spacing w:line="240" w:lineRule="auto"/>
        <w:ind w:left="0" w:firstLine="567"/>
      </w:pPr>
      <w:r>
        <w:t>В строке 219 "Камеральные работы" показываются затраты на обработку полевых материалов, стоимость чертежных, оформительских и других работ, связанных с камеральной обработкой материалов; расходы, связанные с утверждением отчетов (консультация, рецензия и экспертиза отчета и т.п.). Сметная стоимость консультаций, экспертиз, рецензий, составления технико-экономических докладов (ТЭД) и временных кондиций определяется по отдельным расчетам, утверждаемым государственной комиссией по запасам (ГКЗ) Минприроды России. Сметная стоимость камеральной обработки материалов по буровым, горнопроходческим и другим видам полевых работ, кроме тех, на которые предусмотрены сметные нормы на камеральные работы, определяются по сметно-финансовому расчету в целом для этих видов работ.</w:t>
      </w:r>
    </w:p>
    <w:p w:rsidR="00AF5CC4" w:rsidRDefault="00AF5CC4" w:rsidP="00990928">
      <w:pPr>
        <w:spacing w:line="240" w:lineRule="auto"/>
        <w:ind w:left="0" w:firstLine="567"/>
      </w:pPr>
      <w:r>
        <w:t xml:space="preserve">В строке 220 "Отчисления на содержание органов управления фондом недр" учитываются затраты на экономическое, правовое и организационное обеспечение системы управления </w:t>
      </w:r>
      <w:proofErr w:type="spellStart"/>
      <w:r>
        <w:t>недропользования</w:t>
      </w:r>
      <w:proofErr w:type="spellEnd"/>
      <w:r>
        <w:t xml:space="preserve"> (содержание территориальных органов </w:t>
      </w:r>
      <w:proofErr w:type="spellStart"/>
      <w:r>
        <w:t>Роснедр</w:t>
      </w:r>
      <w:proofErr w:type="spellEnd"/>
      <w:r>
        <w:t>).</w:t>
      </w:r>
    </w:p>
    <w:p w:rsidR="00AF5CC4" w:rsidRDefault="00AF5CC4" w:rsidP="00990928">
      <w:pPr>
        <w:spacing w:line="240" w:lineRule="auto"/>
        <w:ind w:left="0" w:firstLine="567"/>
      </w:pPr>
      <w:r>
        <w:t>В строке 221 "Прочие работы" показываются общие затраты на работы, не учтенные в вышеперечисленных строках.</w:t>
      </w:r>
    </w:p>
    <w:p w:rsidR="00AF5CC4" w:rsidRDefault="00AF5CC4" w:rsidP="00990928">
      <w:pPr>
        <w:spacing w:line="240" w:lineRule="auto"/>
        <w:ind w:left="0" w:firstLine="567"/>
      </w:pPr>
      <w:r>
        <w:t>5. Заполнение Раздела 3 бланка формы.</w:t>
      </w:r>
    </w:p>
    <w:p w:rsidR="00AF5CC4" w:rsidRDefault="00AF5CC4" w:rsidP="00990928">
      <w:pPr>
        <w:spacing w:line="240" w:lineRule="auto"/>
        <w:ind w:left="0" w:firstLine="567"/>
      </w:pPr>
      <w:r>
        <w:t xml:space="preserve">В разделе 3 "Сведения о затратах на геологоразведочные работы, выполняемые </w:t>
      </w:r>
      <w:proofErr w:type="spellStart"/>
      <w:r>
        <w:t>инновационно-активными</w:t>
      </w:r>
      <w:proofErr w:type="spellEnd"/>
      <w:r>
        <w:t xml:space="preserve"> организациями" в строке 301 в тысячах рублей приводятся затраты на инновационные геологоразведочные работы, выполняемые организациями за счет федерального бюджета (графа 3), за счет бюджетов субъектов РФ (графа 4), за счет собственных и заемных средств организаций (графа 5).</w:t>
      </w:r>
    </w:p>
    <w:p w:rsidR="00AF5CC4" w:rsidRDefault="00AF5CC4" w:rsidP="00990928">
      <w:pPr>
        <w:spacing w:line="240" w:lineRule="auto"/>
        <w:ind w:left="0" w:firstLine="567"/>
      </w:pPr>
      <w:r>
        <w:t xml:space="preserve">Инновационные геологоразведочные работы определяются основным руководящим документом - "Стратегия развития геологической отрасли Российской Федерации до 2030 года". </w:t>
      </w:r>
      <w:proofErr w:type="gramStart"/>
      <w:r>
        <w:t xml:space="preserve">В рамках этого документа под инновационными геологоразведочными работами </w:t>
      </w:r>
      <w:r>
        <w:lastRenderedPageBreak/>
        <w:t>предполагается: разработка и внедрение современных технологий поисков, разведки минерального сырья, дальнейшее развитие геофизических методов и создание современных аппаратурно-технологических средств, совершенствование технико-технологического обеспечения бурения и исследования глубоких скважин, скважин на твердые полезные ископаемые и гидрогеологических скважин, переоборудование и переоснащение современными техническими средствами имеющихся научно-исследовательских судов и строительство новых научно-исследовательских судов;</w:t>
      </w:r>
      <w:proofErr w:type="gramEnd"/>
      <w:r>
        <w:t xml:space="preserve"> создание современной метрологической базы обеспечения единства измерений; разработка требований к результатам и качеству геологоразведочных работ и др.</w:t>
      </w:r>
    </w:p>
    <w:p w:rsidR="00AF5CC4" w:rsidRDefault="00AF5CC4" w:rsidP="00990928">
      <w:pPr>
        <w:spacing w:line="240" w:lineRule="auto"/>
        <w:ind w:left="0" w:firstLine="567"/>
      </w:pPr>
      <w:r>
        <w:t>Технологические инновации представляют собой конечный результат инновационной деятельности, получивший воплощение в виде нового и либо усовершенствованного продукта или услуги, внедренных на рынке, нового либо усовершенствованного процесса или способа производства (передачи) услуг, используемых в практической деятельности. Технологическими инновациями могут быть, как те продукты, процессы, услуги и методы, которые организация разрабатывает впервые, так и те, которые перенимаются ею у других организаций.</w:t>
      </w:r>
    </w:p>
    <w:p w:rsidR="00AF5CC4" w:rsidRDefault="00AF5CC4" w:rsidP="00990928">
      <w:pPr>
        <w:spacing w:line="240" w:lineRule="auto"/>
        <w:ind w:left="0" w:firstLine="567"/>
      </w:pPr>
      <w:r>
        <w:t>К организациям, осуществляющим технологические инновации, относятся организации, имевшие в отчетном периоде затраты на технологические инновации. Также к организациям, осуществлявшим технологические инновации, относятся организации, введенные в эксплуатацию в отчетном году.</w:t>
      </w:r>
    </w:p>
    <w:p w:rsidR="00AF5CC4" w:rsidRDefault="00AF5CC4" w:rsidP="00990928">
      <w:pPr>
        <w:spacing w:line="240" w:lineRule="auto"/>
        <w:ind w:left="0" w:firstLine="567"/>
      </w:pPr>
      <w:r>
        <w:t xml:space="preserve">Затраты на технологические инновации - выраженные в денежной форме фактические расходы, связанные с осуществлением различных видов инновационной деятельности, выполняемой в масштабе организации (отрасли, региона, страны). В составе затрат на технологические инновации учитываются текущие и капитальные затраты на исследования и разработки - строка 302; производственное проектирование, дизайн и другие разработки (не связанные с научными исследованиями и разработками) - строка 303; приобретение машин и оборудования, связанных с технологическими инновациями - строка 304; </w:t>
      </w:r>
      <w:proofErr w:type="gramStart"/>
      <w:r>
        <w:t>приобретение новых технологий (в том числе прав на патенты, лицензий на использование изобретений, промышленных образцов, полезных моделей) - строка 305; приобретение программных средств - строка 306; обучение и подготовка персонала, связанные с инновациями - строка 307; маркетинговые исследования - строка 308 и прочие затраты, включая другие виды подготовки производства для выпуска новых продуктов, внедрение новых услуг или методов их производства (передачи) - строка 309.</w:t>
      </w:r>
      <w:proofErr w:type="gramEnd"/>
    </w:p>
    <w:p w:rsidR="00990928" w:rsidRDefault="00990928" w:rsidP="00990928">
      <w:pPr>
        <w:spacing w:line="240" w:lineRule="auto"/>
        <w:ind w:left="0" w:firstLine="567"/>
      </w:pPr>
    </w:p>
    <w:p w:rsidR="00AF5CC4" w:rsidRDefault="00990928" w:rsidP="00990928">
      <w:pPr>
        <w:spacing w:line="240" w:lineRule="auto"/>
        <w:ind w:left="0" w:firstLine="567"/>
      </w:pPr>
      <w:hyperlink r:id="rId5" w:history="1">
        <w:r w:rsidRPr="002B6461">
          <w:rPr>
            <w:rStyle w:val="a3"/>
          </w:rPr>
          <w:t>http://www.consultant.ru/document/cons_doc_LAW_152129/?frame=5</w:t>
        </w:r>
      </w:hyperlink>
      <w:r>
        <w:t xml:space="preserve"> </w:t>
      </w:r>
    </w:p>
    <w:p w:rsidR="00B64850" w:rsidRDefault="00AF5CC4" w:rsidP="00990928">
      <w:pPr>
        <w:spacing w:line="240" w:lineRule="auto"/>
        <w:ind w:left="0" w:firstLine="567"/>
      </w:pPr>
      <w:r>
        <w:t xml:space="preserve">© </w:t>
      </w:r>
      <w:proofErr w:type="spellStart"/>
      <w:r>
        <w:t>КонсультантПлюс</w:t>
      </w:r>
      <w:proofErr w:type="spellEnd"/>
      <w:r>
        <w:t>, 1992-2014</w:t>
      </w:r>
    </w:p>
    <w:sectPr w:rsidR="00B64850" w:rsidSect="00AF5CC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5CC4"/>
    <w:rsid w:val="00034E1B"/>
    <w:rsid w:val="003668F6"/>
    <w:rsid w:val="004E7C2A"/>
    <w:rsid w:val="004F7A96"/>
    <w:rsid w:val="00634BAC"/>
    <w:rsid w:val="00990928"/>
    <w:rsid w:val="00A24BF9"/>
    <w:rsid w:val="00AF5CC4"/>
    <w:rsid w:val="00B05E18"/>
    <w:rsid w:val="00B640C0"/>
    <w:rsid w:val="00B6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left="709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9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2129/?frame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06F3-4FC7-413B-85BA-19A0E9FB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2655</Words>
  <Characters>15140</Characters>
  <Application>Microsoft Office Word</Application>
  <DocSecurity>0</DocSecurity>
  <Lines>126</Lines>
  <Paragraphs>35</Paragraphs>
  <ScaleCrop>false</ScaleCrop>
  <Company/>
  <LinksUpToDate>false</LinksUpToDate>
  <CharactersWithSpaces>17760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</dc:creator>
  <cp:keywords/>
  <dc:description/>
  <cp:lastModifiedBy>Vinogradov</cp:lastModifiedBy>
  <cp:revision>2</cp:revision>
  <dcterms:created xsi:type="dcterms:W3CDTF">2014-04-03T11:03:00Z</dcterms:created>
  <dcterms:modified xsi:type="dcterms:W3CDTF">2014-04-03T11:12:00Z</dcterms:modified>
</cp:coreProperties>
</file>