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22" w:rsidRDefault="00B63D22">
      <w:pPr>
        <w:pStyle w:val="ConsPlusTitle"/>
        <w:jc w:val="center"/>
        <w:outlineLvl w:val="0"/>
      </w:pPr>
      <w:r>
        <w:t>ФЕДЕРАЛЬНАЯ СЛУЖБА ГОСУДАРСТВЕННОЙ СТАТИСТИКИ</w:t>
      </w:r>
    </w:p>
    <w:p w:rsidR="00B63D22" w:rsidRDefault="00B63D22">
      <w:pPr>
        <w:pStyle w:val="ConsPlusTitle"/>
        <w:jc w:val="center"/>
      </w:pPr>
    </w:p>
    <w:p w:rsidR="00B63D22" w:rsidRDefault="00B63D22">
      <w:pPr>
        <w:pStyle w:val="ConsPlusTitle"/>
        <w:jc w:val="center"/>
      </w:pPr>
      <w:r>
        <w:t>ПРИКАЗ</w:t>
      </w:r>
    </w:p>
    <w:p w:rsidR="00B63D22" w:rsidRDefault="00B63D22">
      <w:pPr>
        <w:pStyle w:val="ConsPlusTitle"/>
        <w:jc w:val="center"/>
      </w:pPr>
      <w:r>
        <w:t>от 6 июня 2013 г. N 203</w:t>
      </w:r>
    </w:p>
    <w:p w:rsidR="00B63D22" w:rsidRDefault="00B63D22">
      <w:pPr>
        <w:pStyle w:val="ConsPlusTitle"/>
        <w:jc w:val="center"/>
      </w:pPr>
    </w:p>
    <w:p w:rsidR="00B63D22" w:rsidRDefault="00B63D22">
      <w:pPr>
        <w:pStyle w:val="ConsPlusTitle"/>
        <w:jc w:val="center"/>
      </w:pPr>
      <w:r>
        <w:t>ОБ УТВЕРЖДЕНИИ СТАТИСТИЧЕСКОГО ИНСТРУМЕНТАРИЯ</w:t>
      </w:r>
    </w:p>
    <w:p w:rsidR="00B63D22" w:rsidRDefault="00B63D22">
      <w:pPr>
        <w:pStyle w:val="ConsPlusTitle"/>
        <w:jc w:val="center"/>
      </w:pPr>
      <w:r>
        <w:t>ДЛЯ ОРГАНИЗАЦИИ ФЕДЕРАЛЬНЫМ АГЕНТСТВОМ ПО НЕДРОПОЛЬЗОВАНИЮ</w:t>
      </w:r>
    </w:p>
    <w:p w:rsidR="00B63D22" w:rsidRDefault="00B63D22">
      <w:pPr>
        <w:pStyle w:val="ConsPlusTitle"/>
        <w:jc w:val="center"/>
      </w:pPr>
      <w:r>
        <w:t>ФЕДЕРАЛЬНОГО СТАТИСТИЧЕСКОГО НАБЛЮДЕНИЯ ЗА ВЫПОЛНЕНИЕМ</w:t>
      </w:r>
    </w:p>
    <w:p w:rsidR="00B63D22" w:rsidRDefault="00B63D22">
      <w:pPr>
        <w:pStyle w:val="ConsPlusTitle"/>
        <w:jc w:val="center"/>
      </w:pPr>
      <w:r>
        <w:t>УСЛОВИЙ ПОЛЬЗОВАНИЯ НЕДРАМИ ПРИ ДОБЫЧЕ МИНЕРАЛЬНЫХ</w:t>
      </w:r>
    </w:p>
    <w:p w:rsidR="00B63D22" w:rsidRDefault="00B63D22">
      <w:pPr>
        <w:pStyle w:val="ConsPlusTitle"/>
        <w:jc w:val="center"/>
      </w:pPr>
      <w:r>
        <w:t>ПОДЗЕМНЫХ ВОД</w:t>
      </w:r>
    </w:p>
    <w:p w:rsidR="00B63D22" w:rsidRDefault="00B63D22">
      <w:pPr>
        <w:pStyle w:val="ConsPlusNormal"/>
      </w:pPr>
    </w:p>
    <w:p w:rsidR="00B63D22" w:rsidRDefault="00B63D2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5.5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</w:t>
      </w:r>
      <w:hyperlink r:id="rId5" w:history="1">
        <w:r>
          <w:rPr>
            <w:color w:val="0000FF"/>
          </w:rPr>
          <w:t>плана</w:t>
        </w:r>
      </w:hyperlink>
      <w:r>
        <w:t xml:space="preserve"> статистических работ, утвержденного распоряжением Правительства Российской Федерации от 6 мая 2008 г. N 671-р, приказываю:</w:t>
      </w:r>
    </w:p>
    <w:p w:rsidR="00B63D22" w:rsidRDefault="00B63D22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Утвердить представленную Федеральным агентством по недропользованию прилагаемую годовую </w:t>
      </w:r>
      <w:hyperlink w:anchor="P47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3-ЛС "Сведения о выполнении условий пользования недрами при добыче минеральных подземных вод" с </w:t>
      </w:r>
      <w:hyperlink w:anchor="P269" w:history="1">
        <w:r>
          <w:rPr>
            <w:color w:val="0000FF"/>
          </w:rPr>
          <w:t>указаниями</w:t>
        </w:r>
      </w:hyperlink>
      <w:r>
        <w:t xml:space="preserve"> по ее заполнению для сбора и обработки данных в системе Роснедр и ввести ее в действие с отчета за 2013 год.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2. Установить предоставление данных по указанной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приказа </w:t>
      </w:r>
      <w:hyperlink w:anchor="P47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по адресам и в сроки, установленные в форме.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3. С введением указанного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приказа статистического инструментария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Росстата от 30 июля 2009 г. N 156 "Об утверждении статистического инструментария для организации Минприроды России федерального статистического наблюдения за выполнением условий пользования недрами при добыче минеральных подземных вод".</w:t>
      </w: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jc w:val="right"/>
      </w:pPr>
      <w:r>
        <w:t>Руководитель</w:t>
      </w:r>
    </w:p>
    <w:p w:rsidR="00B63D22" w:rsidRDefault="00B63D22">
      <w:pPr>
        <w:pStyle w:val="ConsPlusNormal"/>
        <w:jc w:val="right"/>
      </w:pPr>
      <w:r>
        <w:t>А.Е.СУРИНОВ</w:t>
      </w: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  <w:bookmarkStart w:id="1" w:name="_GoBack"/>
      <w:bookmarkEnd w:id="1"/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3D22" w:rsidRDefault="00B63D22">
      <w:pPr>
        <w:pStyle w:val="ConsPlusNonformat"/>
        <w:jc w:val="both"/>
      </w:pPr>
      <w:r>
        <w:t>│                 ФЕДЕРАЛЬНОЕ СТАТИСТИЧЕСКОЕ НАБЛЮДЕНИЕ                   │</w:t>
      </w:r>
    </w:p>
    <w:p w:rsidR="00B63D22" w:rsidRDefault="00B63D2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63D22" w:rsidRDefault="00B63D22">
      <w:pPr>
        <w:pStyle w:val="ConsPlusNonformat"/>
        <w:jc w:val="both"/>
      </w:pPr>
    </w:p>
    <w:p w:rsidR="00B63D22" w:rsidRDefault="00B63D2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3D22" w:rsidRDefault="00B63D22">
      <w:pPr>
        <w:pStyle w:val="ConsPlusNonformat"/>
        <w:jc w:val="both"/>
      </w:pPr>
      <w:r>
        <w:t>│         КОНФИДЕНЦИАЛЬНОСТЬ ГАРАНТИРУЕТСЯ ПОЛУЧАТЕЛЕМ ИНФОРМАЦИИ         │</w:t>
      </w:r>
    </w:p>
    <w:p w:rsidR="00B63D22" w:rsidRDefault="00B63D2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63D22" w:rsidRDefault="00B63D22">
      <w:pPr>
        <w:pStyle w:val="ConsPlusNonformat"/>
        <w:jc w:val="both"/>
      </w:pPr>
    </w:p>
    <w:p w:rsidR="00B63D22" w:rsidRDefault="00B63D2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3D22" w:rsidRDefault="00B63D22">
      <w:pPr>
        <w:pStyle w:val="ConsPlusNonformat"/>
        <w:jc w:val="both"/>
      </w:pPr>
      <w:r>
        <w:t>│    Нарушение порядка представления статистической информации, а равно   │</w:t>
      </w:r>
    </w:p>
    <w:p w:rsidR="00B63D22" w:rsidRDefault="00B63D22">
      <w:pPr>
        <w:pStyle w:val="ConsPlusNonformat"/>
        <w:jc w:val="both"/>
      </w:pPr>
      <w:r>
        <w:t>│       представление недостоверной статистической информации влечет      │</w:t>
      </w:r>
    </w:p>
    <w:p w:rsidR="00B63D22" w:rsidRDefault="00B63D22">
      <w:pPr>
        <w:pStyle w:val="ConsPlusNonformat"/>
        <w:jc w:val="both"/>
      </w:pPr>
      <w:r>
        <w:t xml:space="preserve">│ответственность, установленную </w:t>
      </w:r>
      <w:hyperlink r:id="rId7" w:history="1">
        <w:r>
          <w:rPr>
            <w:color w:val="0000FF"/>
          </w:rPr>
          <w:t>статьей 13.19</w:t>
        </w:r>
      </w:hyperlink>
      <w:r>
        <w:t xml:space="preserve"> Кодекса Российской Федерации│</w:t>
      </w:r>
    </w:p>
    <w:p w:rsidR="00B63D22" w:rsidRDefault="00B63D22">
      <w:pPr>
        <w:pStyle w:val="ConsPlusNonformat"/>
        <w:jc w:val="both"/>
      </w:pPr>
      <w:r>
        <w:t>│   об административных правонарушениях от 30.12.2001 N 195-ФЗ, а также   │</w:t>
      </w:r>
    </w:p>
    <w:p w:rsidR="00B63D22" w:rsidRDefault="00B63D22">
      <w:pPr>
        <w:pStyle w:val="ConsPlusNonformat"/>
        <w:jc w:val="both"/>
      </w:pPr>
      <w:r>
        <w:t xml:space="preserve">│      </w:t>
      </w:r>
      <w:hyperlink r:id="rId8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от 13.05.92 N 2761-1 "Об     │</w:t>
      </w:r>
    </w:p>
    <w:p w:rsidR="00B63D22" w:rsidRDefault="00B63D22">
      <w:pPr>
        <w:pStyle w:val="ConsPlusNonformat"/>
        <w:jc w:val="both"/>
      </w:pPr>
      <w:r>
        <w:t>│    ответственности за нарушение порядка представления государственной   │</w:t>
      </w:r>
    </w:p>
    <w:p w:rsidR="00B63D22" w:rsidRDefault="00B63D22">
      <w:pPr>
        <w:pStyle w:val="ConsPlusNonformat"/>
        <w:jc w:val="both"/>
      </w:pPr>
      <w:r>
        <w:t>│                        статистической отчетности"                       │</w:t>
      </w:r>
    </w:p>
    <w:p w:rsidR="00B63D22" w:rsidRDefault="00B63D2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63D22" w:rsidRDefault="00B63D22">
      <w:pPr>
        <w:pStyle w:val="ConsPlusNonformat"/>
        <w:jc w:val="both"/>
      </w:pPr>
    </w:p>
    <w:p w:rsidR="00B63D22" w:rsidRDefault="00B63D2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3D22" w:rsidRDefault="00B63D22">
      <w:pPr>
        <w:pStyle w:val="ConsPlusNonformat"/>
        <w:jc w:val="both"/>
      </w:pPr>
      <w:r>
        <w:t>│               ВОЗМОЖНО ПРЕДОСТАВЛЕНИЕ В ЭЛЕКТРОННОМ ВИДЕ                │</w:t>
      </w:r>
    </w:p>
    <w:p w:rsidR="00B63D22" w:rsidRDefault="00B63D2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63D22" w:rsidRDefault="00B63D22">
      <w:pPr>
        <w:pStyle w:val="ConsPlusNonformat"/>
        <w:jc w:val="both"/>
      </w:pPr>
    </w:p>
    <w:p w:rsidR="00B63D22" w:rsidRDefault="00B63D2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3D22" w:rsidRDefault="00B63D22">
      <w:pPr>
        <w:pStyle w:val="ConsPlusNonformat"/>
        <w:jc w:val="both"/>
      </w:pPr>
      <w:bookmarkStart w:id="2" w:name="P47"/>
      <w:bookmarkEnd w:id="2"/>
      <w:r>
        <w:t>│      СВЕДЕНИЯ О ВЫПОЛНЕНИИ УСЛОВИЙ ПОЛЬЗОВАНИЯ НЕДРАМИ ПРИ ДОБЫЧЕ       │</w:t>
      </w:r>
    </w:p>
    <w:p w:rsidR="00B63D22" w:rsidRDefault="00B63D22">
      <w:pPr>
        <w:pStyle w:val="ConsPlusNonformat"/>
        <w:jc w:val="both"/>
      </w:pPr>
      <w:r>
        <w:t>│                        МИНЕРАЛЬНЫХ ПОДЗЕМНЫХ ВОД                        │</w:t>
      </w:r>
    </w:p>
    <w:p w:rsidR="00B63D22" w:rsidRDefault="00B63D22">
      <w:pPr>
        <w:pStyle w:val="ConsPlusNonformat"/>
        <w:jc w:val="both"/>
      </w:pPr>
      <w:r>
        <w:t>│                               за 20__ г.                                │</w:t>
      </w:r>
    </w:p>
    <w:p w:rsidR="00B63D22" w:rsidRDefault="00B63D2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63D22" w:rsidRDefault="00B63D22">
      <w:pPr>
        <w:pStyle w:val="ConsPlusNonformat"/>
        <w:jc w:val="both"/>
      </w:pPr>
    </w:p>
    <w:p w:rsidR="00B63D22" w:rsidRDefault="00B63D22">
      <w:pPr>
        <w:pStyle w:val="ConsPlusNonformat"/>
        <w:jc w:val="both"/>
      </w:pPr>
      <w:r>
        <w:t>┌──────────────────────────────┬─────────────────┐  ┌─────────────────────┐</w:t>
      </w:r>
    </w:p>
    <w:p w:rsidR="00B63D22" w:rsidRDefault="00B63D22">
      <w:pPr>
        <w:pStyle w:val="ConsPlusNonformat"/>
        <w:jc w:val="both"/>
      </w:pPr>
      <w:r>
        <w:t xml:space="preserve">│        </w:t>
      </w:r>
      <w:proofErr w:type="gramStart"/>
      <w:r>
        <w:t xml:space="preserve">Предоставляют:   </w:t>
      </w:r>
      <w:proofErr w:type="gramEnd"/>
      <w:r>
        <w:t xml:space="preserve">     │      Сроки      │  │     Форма N 3-ЛС    │</w:t>
      </w:r>
    </w:p>
    <w:p w:rsidR="00B63D22" w:rsidRDefault="00B63D22">
      <w:pPr>
        <w:pStyle w:val="ConsPlusNonformat"/>
        <w:jc w:val="both"/>
      </w:pPr>
      <w:r>
        <w:t xml:space="preserve">│                              │ </w:t>
      </w:r>
      <w:proofErr w:type="gramStart"/>
      <w:r>
        <w:t>предоставления  │</w:t>
      </w:r>
      <w:proofErr w:type="gramEnd"/>
      <w:r>
        <w:t xml:space="preserve">  └─────────────────────┘</w:t>
      </w:r>
    </w:p>
    <w:p w:rsidR="00B63D22" w:rsidRDefault="00B63D22">
      <w:pPr>
        <w:pStyle w:val="ConsPlusNonformat"/>
        <w:jc w:val="both"/>
      </w:pPr>
      <w:r>
        <w:t>├──────────────────────────────┼─────────────────┤</w:t>
      </w:r>
    </w:p>
    <w:p w:rsidR="00B63D22" w:rsidRDefault="00B63D22">
      <w:pPr>
        <w:pStyle w:val="ConsPlusNonformat"/>
        <w:jc w:val="both"/>
      </w:pPr>
      <w:r>
        <w:t>│юридические лица -            │    3 февраля    │     Приказ Росстата:</w:t>
      </w:r>
    </w:p>
    <w:p w:rsidR="00B63D22" w:rsidRDefault="00B63D22">
      <w:pPr>
        <w:pStyle w:val="ConsPlusNonformat"/>
        <w:jc w:val="both"/>
      </w:pPr>
      <w:r>
        <w:t>│пользователи недр всех форм   │ после отчетного │   Об утверждении формы</w:t>
      </w:r>
    </w:p>
    <w:p w:rsidR="00B63D22" w:rsidRDefault="00B63D22">
      <w:pPr>
        <w:pStyle w:val="ConsPlusNonformat"/>
        <w:jc w:val="both"/>
      </w:pPr>
      <w:r>
        <w:t>│собственности, имеющие        │     периода     │    от 06.06.2013 N 203</w:t>
      </w:r>
    </w:p>
    <w:p w:rsidR="00B63D22" w:rsidRDefault="00B63D22">
      <w:pPr>
        <w:pStyle w:val="ConsPlusNonformat"/>
        <w:jc w:val="both"/>
      </w:pPr>
      <w:r>
        <w:t>│лицензии на геологическое     │                 │   О внесении изменений</w:t>
      </w:r>
    </w:p>
    <w:p w:rsidR="00B63D22" w:rsidRDefault="00B63D22">
      <w:pPr>
        <w:pStyle w:val="ConsPlusNonformat"/>
        <w:jc w:val="both"/>
      </w:pPr>
      <w:r>
        <w:t xml:space="preserve">│изучение, разведку и          │                 │    </w:t>
      </w:r>
      <w:proofErr w:type="gramStart"/>
      <w:r>
        <w:t xml:space="preserve">   (</w:t>
      </w:r>
      <w:proofErr w:type="gramEnd"/>
      <w:r>
        <w:t>при наличии)</w:t>
      </w:r>
    </w:p>
    <w:p w:rsidR="00B63D22" w:rsidRDefault="00B63D22">
      <w:pPr>
        <w:pStyle w:val="ConsPlusNonformat"/>
        <w:jc w:val="both"/>
      </w:pPr>
      <w:r>
        <w:t>│разработку месторождений      │                 │    от __________ N ___</w:t>
      </w:r>
    </w:p>
    <w:p w:rsidR="00B63D22" w:rsidRDefault="00B63D22">
      <w:pPr>
        <w:pStyle w:val="ConsPlusNonformat"/>
        <w:jc w:val="both"/>
      </w:pPr>
      <w:r>
        <w:t>│минеральных подземных вод     │                 │    от __________ N ___</w:t>
      </w:r>
    </w:p>
    <w:p w:rsidR="00B63D22" w:rsidRDefault="00B63D22">
      <w:pPr>
        <w:pStyle w:val="ConsPlusNonformat"/>
        <w:jc w:val="both"/>
      </w:pPr>
      <w:r>
        <w:t>│отдельно по каждому участку   │                 │</w:t>
      </w:r>
    </w:p>
    <w:p w:rsidR="00B63D22" w:rsidRDefault="00B63D22">
      <w:pPr>
        <w:pStyle w:val="ConsPlusNonformat"/>
        <w:jc w:val="both"/>
      </w:pPr>
      <w:r>
        <w:t>│</w:t>
      </w:r>
      <w:proofErr w:type="gramStart"/>
      <w:r>
        <w:t xml:space="preserve">недр:   </w:t>
      </w:r>
      <w:proofErr w:type="gramEnd"/>
      <w:r>
        <w:t xml:space="preserve">                      │                 │  ┌─────────────────────┐</w:t>
      </w:r>
    </w:p>
    <w:p w:rsidR="00B63D22" w:rsidRDefault="00B63D22">
      <w:pPr>
        <w:pStyle w:val="ConsPlusNonformat"/>
        <w:jc w:val="both"/>
      </w:pPr>
      <w:proofErr w:type="gramStart"/>
      <w:r>
        <w:t>│  -</w:t>
      </w:r>
      <w:proofErr w:type="gramEnd"/>
      <w:r>
        <w:t xml:space="preserve"> территориальному органу   │                 │  │       Годовая       │</w:t>
      </w:r>
    </w:p>
    <w:p w:rsidR="00B63D22" w:rsidRDefault="00B63D22">
      <w:pPr>
        <w:pStyle w:val="ConsPlusNonformat"/>
        <w:jc w:val="both"/>
      </w:pPr>
      <w:r>
        <w:t xml:space="preserve">│    Роснедр в субъектах       │                 </w:t>
      </w:r>
      <w:proofErr w:type="gramStart"/>
      <w:r>
        <w:t>│  └</w:t>
      </w:r>
      <w:proofErr w:type="gramEnd"/>
      <w:r>
        <w:t>─────────────────────┘</w:t>
      </w:r>
    </w:p>
    <w:p w:rsidR="00B63D22" w:rsidRDefault="00B63D22">
      <w:pPr>
        <w:pStyle w:val="ConsPlusNonformat"/>
        <w:jc w:val="both"/>
      </w:pPr>
      <w:r>
        <w:t>│    Российской Федерации      │                 │</w:t>
      </w:r>
    </w:p>
    <w:p w:rsidR="00B63D22" w:rsidRDefault="00B63D22">
      <w:pPr>
        <w:pStyle w:val="ConsPlusNonformat"/>
        <w:jc w:val="both"/>
      </w:pPr>
      <w:r>
        <w:t>└──────────────────────────────┴─────────────────┘</w:t>
      </w:r>
    </w:p>
    <w:p w:rsidR="00B63D22" w:rsidRDefault="00B63D22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16"/>
        <w:gridCol w:w="2596"/>
        <w:gridCol w:w="2596"/>
        <w:gridCol w:w="2596"/>
      </w:tblGrid>
      <w:tr w:rsidR="00B63D22">
        <w:trPr>
          <w:trHeight w:val="239"/>
        </w:trPr>
        <w:tc>
          <w:tcPr>
            <w:tcW w:w="9204" w:type="dxa"/>
            <w:gridSpan w:val="4"/>
          </w:tcPr>
          <w:p w:rsidR="00B63D22" w:rsidRDefault="00B63D22">
            <w:pPr>
              <w:pStyle w:val="ConsPlusNonformat"/>
              <w:jc w:val="both"/>
            </w:pPr>
            <w:bookmarkStart w:id="3" w:name="P71"/>
            <w:bookmarkEnd w:id="3"/>
            <w:r>
              <w:t>Наименование отчитывающейся организации _________________________________</w:t>
            </w:r>
          </w:p>
        </w:tc>
      </w:tr>
      <w:tr w:rsidR="00B63D22">
        <w:trPr>
          <w:trHeight w:val="239"/>
        </w:trPr>
        <w:tc>
          <w:tcPr>
            <w:tcW w:w="9204" w:type="dxa"/>
            <w:gridSpan w:val="4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bookmarkStart w:id="4" w:name="P73"/>
            <w:bookmarkEnd w:id="4"/>
            <w:r>
              <w:t>Почтовый адрес __________________________________________________________</w:t>
            </w:r>
          </w:p>
        </w:tc>
      </w:tr>
      <w:tr w:rsidR="00B63D22">
        <w:trPr>
          <w:trHeight w:val="239"/>
        </w:trPr>
        <w:tc>
          <w:tcPr>
            <w:tcW w:w="1416" w:type="dxa"/>
            <w:vMerge w:val="restart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Код  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формы 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по </w:t>
            </w:r>
            <w:hyperlink r:id="rId9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788" w:type="dxa"/>
            <w:gridSpan w:val="3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bookmarkStart w:id="5" w:name="P75"/>
            <w:bookmarkEnd w:id="5"/>
            <w:r>
              <w:t xml:space="preserve">                             Код                              </w:t>
            </w:r>
          </w:p>
        </w:tc>
      </w:tr>
      <w:tr w:rsidR="00B63D22">
        <w:tc>
          <w:tcPr>
            <w:tcW w:w="1298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259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отчитывающейся 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организации по ОКПО</w:t>
            </w:r>
          </w:p>
        </w:tc>
        <w:tc>
          <w:tcPr>
            <w:tcW w:w="259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259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</w:tr>
      <w:tr w:rsidR="00B63D22">
        <w:trPr>
          <w:trHeight w:val="239"/>
        </w:trPr>
        <w:tc>
          <w:tcPr>
            <w:tcW w:w="141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259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     2          </w:t>
            </w:r>
          </w:p>
        </w:tc>
        <w:tc>
          <w:tcPr>
            <w:tcW w:w="259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     3          </w:t>
            </w:r>
          </w:p>
        </w:tc>
        <w:tc>
          <w:tcPr>
            <w:tcW w:w="259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     4          </w:t>
            </w:r>
          </w:p>
        </w:tc>
      </w:tr>
      <w:tr w:rsidR="00B63D22">
        <w:trPr>
          <w:trHeight w:val="239"/>
        </w:trPr>
        <w:tc>
          <w:tcPr>
            <w:tcW w:w="141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0609052  </w:t>
            </w:r>
          </w:p>
        </w:tc>
        <w:tc>
          <w:tcPr>
            <w:tcW w:w="259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259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259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</w:tr>
    </w:tbl>
    <w:p w:rsidR="00B63D22" w:rsidRDefault="00B63D22">
      <w:pPr>
        <w:pStyle w:val="ConsPlusNormal"/>
        <w:jc w:val="both"/>
      </w:pPr>
    </w:p>
    <w:p w:rsidR="00B63D22" w:rsidRDefault="00B63D22">
      <w:pPr>
        <w:pStyle w:val="ConsPlusNonformat"/>
        <w:jc w:val="both"/>
      </w:pPr>
      <w:bookmarkStart w:id="6" w:name="P85"/>
      <w:bookmarkEnd w:id="6"/>
      <w:r>
        <w:t xml:space="preserve">        Раздел 1. Сведения о лицензии на право пользования недрами</w:t>
      </w:r>
    </w:p>
    <w:p w:rsidR="00B63D22" w:rsidRDefault="00B63D22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26"/>
        <w:gridCol w:w="826"/>
        <w:gridCol w:w="1534"/>
        <w:gridCol w:w="1416"/>
        <w:gridCol w:w="2242"/>
        <w:gridCol w:w="1416"/>
        <w:gridCol w:w="1298"/>
      </w:tblGrid>
      <w:tr w:rsidR="00B63D22">
        <w:trPr>
          <w:trHeight w:val="239"/>
        </w:trPr>
        <w:tc>
          <w:tcPr>
            <w:tcW w:w="3186" w:type="dxa"/>
            <w:gridSpan w:val="3"/>
          </w:tcPr>
          <w:p w:rsidR="00B63D22" w:rsidRDefault="00B63D22">
            <w:pPr>
              <w:pStyle w:val="ConsPlusNonformat"/>
              <w:jc w:val="both"/>
            </w:pPr>
            <w:r>
              <w:t xml:space="preserve">       Лицензия        </w:t>
            </w:r>
          </w:p>
        </w:tc>
        <w:tc>
          <w:tcPr>
            <w:tcW w:w="1416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t xml:space="preserve"> Субъект  </w:t>
            </w:r>
          </w:p>
          <w:p w:rsidR="00B63D22" w:rsidRDefault="00B63D22">
            <w:pPr>
              <w:pStyle w:val="ConsPlusNonformat"/>
              <w:jc w:val="both"/>
            </w:pPr>
            <w:r>
              <w:lastRenderedPageBreak/>
              <w:t>Российской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Федерации </w:t>
            </w:r>
          </w:p>
        </w:tc>
        <w:tc>
          <w:tcPr>
            <w:tcW w:w="2242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lastRenderedPageBreak/>
              <w:t xml:space="preserve">     Объект      </w:t>
            </w:r>
          </w:p>
          <w:p w:rsidR="00B63D22" w:rsidRDefault="00B63D22">
            <w:pPr>
              <w:pStyle w:val="ConsPlusNonformat"/>
              <w:jc w:val="both"/>
            </w:pPr>
            <w:r>
              <w:lastRenderedPageBreak/>
              <w:t>недропользования,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установленный в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  лицензии     </w:t>
            </w:r>
          </w:p>
        </w:tc>
        <w:tc>
          <w:tcPr>
            <w:tcW w:w="1416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lastRenderedPageBreak/>
              <w:t xml:space="preserve">Дата ре-  </w:t>
            </w:r>
          </w:p>
          <w:p w:rsidR="00B63D22" w:rsidRDefault="00B63D22">
            <w:pPr>
              <w:pStyle w:val="ConsPlusNonformat"/>
              <w:jc w:val="both"/>
            </w:pPr>
            <w:proofErr w:type="spellStart"/>
            <w:r>
              <w:lastRenderedPageBreak/>
              <w:t>гистрации</w:t>
            </w:r>
            <w:proofErr w:type="spellEnd"/>
            <w:r>
              <w:t xml:space="preserve">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лицензии  </w:t>
            </w:r>
          </w:p>
        </w:tc>
        <w:tc>
          <w:tcPr>
            <w:tcW w:w="1298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lastRenderedPageBreak/>
              <w:t xml:space="preserve">  Дата   </w:t>
            </w:r>
          </w:p>
          <w:p w:rsidR="00B63D22" w:rsidRDefault="00B63D22">
            <w:pPr>
              <w:pStyle w:val="ConsPlusNonformat"/>
              <w:jc w:val="both"/>
            </w:pPr>
            <w:r>
              <w:lastRenderedPageBreak/>
              <w:t>окончания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действия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лицензии </w:t>
            </w:r>
          </w:p>
        </w:tc>
      </w:tr>
      <w:tr w:rsidR="00B63D22">
        <w:trPr>
          <w:trHeight w:val="239"/>
        </w:trPr>
        <w:tc>
          <w:tcPr>
            <w:tcW w:w="82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lastRenderedPageBreak/>
              <w:t>Серия</w:t>
            </w:r>
          </w:p>
        </w:tc>
        <w:tc>
          <w:tcPr>
            <w:tcW w:w="82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>Номер</w:t>
            </w: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Вид    </w:t>
            </w:r>
          </w:p>
          <w:p w:rsidR="00B63D22" w:rsidRDefault="00B63D22">
            <w:pPr>
              <w:pStyle w:val="ConsPlusNonformat"/>
              <w:jc w:val="both"/>
            </w:pPr>
            <w:r>
              <w:t>пользования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недрами  </w:t>
            </w:r>
          </w:p>
        </w:tc>
        <w:tc>
          <w:tcPr>
            <w:tcW w:w="1298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2124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1298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1180" w:type="dxa"/>
            <w:vMerge/>
            <w:tcBorders>
              <w:top w:val="nil"/>
            </w:tcBorders>
          </w:tcPr>
          <w:p w:rsidR="00B63D22" w:rsidRDefault="00B63D22"/>
        </w:tc>
      </w:tr>
      <w:tr w:rsidR="00B63D22">
        <w:trPr>
          <w:trHeight w:val="239"/>
        </w:trPr>
        <w:tc>
          <w:tcPr>
            <w:tcW w:w="82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41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224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41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29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</w:tr>
    </w:tbl>
    <w:p w:rsidR="00B63D22" w:rsidRDefault="00B63D22">
      <w:pPr>
        <w:pStyle w:val="ConsPlusNormal"/>
        <w:jc w:val="both"/>
      </w:pPr>
    </w:p>
    <w:p w:rsidR="00B63D22" w:rsidRDefault="00B63D22">
      <w:pPr>
        <w:pStyle w:val="ConsPlusNonformat"/>
        <w:jc w:val="both"/>
      </w:pPr>
      <w:bookmarkStart w:id="7" w:name="P97"/>
      <w:bookmarkEnd w:id="7"/>
      <w:r>
        <w:rPr>
          <w:sz w:val="16"/>
        </w:rPr>
        <w:t xml:space="preserve">          Раздел 2. Сведения об утвержденных проектных и отчетных</w:t>
      </w: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            документах, связанных с пользованием недрами</w:t>
      </w:r>
    </w:p>
    <w:p w:rsidR="00B63D22" w:rsidRDefault="00B63D22">
      <w:pPr>
        <w:pStyle w:val="ConsPlusNormal"/>
        <w:jc w:val="both"/>
      </w:pPr>
    </w:p>
    <w:p w:rsidR="00B63D22" w:rsidRDefault="00B63D22">
      <w:pPr>
        <w:pStyle w:val="ConsPlusCell"/>
        <w:jc w:val="both"/>
      </w:pPr>
      <w:r>
        <w:rPr>
          <w:sz w:val="16"/>
        </w:rPr>
        <w:t>┌─────────────────────┬──────┬──────────────┬─────────────────────────────────────────────────┐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    Наименование     </w:t>
      </w:r>
      <w:proofErr w:type="gramStart"/>
      <w:r>
        <w:rPr>
          <w:sz w:val="16"/>
        </w:rPr>
        <w:t>│  N</w:t>
      </w:r>
      <w:proofErr w:type="gramEnd"/>
      <w:r>
        <w:rPr>
          <w:sz w:val="16"/>
        </w:rPr>
        <w:t xml:space="preserve">   │     Дата     │   Сведения о фактической подготовке документа   │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      документа      │строки│ </w:t>
      </w:r>
      <w:proofErr w:type="gramStart"/>
      <w:r>
        <w:rPr>
          <w:sz w:val="16"/>
        </w:rPr>
        <w:t>подготовки,  ├</w:t>
      </w:r>
      <w:proofErr w:type="gramEnd"/>
      <w:r>
        <w:rPr>
          <w:sz w:val="16"/>
        </w:rPr>
        <w:t>────────────────┬───────────────┬────────────────┤</w:t>
      </w:r>
    </w:p>
    <w:p w:rsidR="00B63D22" w:rsidRDefault="00B63D22">
      <w:pPr>
        <w:pStyle w:val="ConsPlusCell"/>
        <w:jc w:val="both"/>
      </w:pPr>
      <w:r>
        <w:rPr>
          <w:sz w:val="16"/>
        </w:rPr>
        <w:t>│                     │      │установленная │      Дата      │     Орган     │       N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                     │      </w:t>
      </w:r>
      <w:proofErr w:type="gramStart"/>
      <w:r>
        <w:rPr>
          <w:sz w:val="16"/>
        </w:rPr>
        <w:t>│  в</w:t>
      </w:r>
      <w:proofErr w:type="gramEnd"/>
      <w:r>
        <w:rPr>
          <w:sz w:val="16"/>
        </w:rPr>
        <w:t xml:space="preserve"> лицензии  │государственной │государственной│   протокола    │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                     │      │              </w:t>
      </w:r>
      <w:proofErr w:type="gramStart"/>
      <w:r>
        <w:rPr>
          <w:sz w:val="16"/>
        </w:rPr>
        <w:t>│  экспертизы</w:t>
      </w:r>
      <w:proofErr w:type="gramEnd"/>
      <w:r>
        <w:rPr>
          <w:sz w:val="16"/>
        </w:rPr>
        <w:t>,   │  экспертизы,  │государственной │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                     │      │              </w:t>
      </w:r>
      <w:proofErr w:type="gramStart"/>
      <w:r>
        <w:rPr>
          <w:sz w:val="16"/>
        </w:rPr>
        <w:t>│  согласования</w:t>
      </w:r>
      <w:proofErr w:type="gramEnd"/>
      <w:r>
        <w:rPr>
          <w:sz w:val="16"/>
        </w:rPr>
        <w:t xml:space="preserve">  │ согласования  │ экспертизы или │</w:t>
      </w:r>
    </w:p>
    <w:p w:rsidR="00B63D22" w:rsidRDefault="00B63D22">
      <w:pPr>
        <w:pStyle w:val="ConsPlusCell"/>
        <w:jc w:val="both"/>
      </w:pPr>
      <w:r>
        <w:rPr>
          <w:sz w:val="16"/>
        </w:rPr>
        <w:t>│                     │      │              │или утверждения │или утверждения</w:t>
      </w:r>
      <w:proofErr w:type="gramStart"/>
      <w:r>
        <w:rPr>
          <w:sz w:val="16"/>
        </w:rPr>
        <w:t>│  согласования</w:t>
      </w:r>
      <w:proofErr w:type="gramEnd"/>
      <w:r>
        <w:rPr>
          <w:sz w:val="16"/>
        </w:rPr>
        <w:t xml:space="preserve">  │</w:t>
      </w:r>
    </w:p>
    <w:p w:rsidR="00B63D22" w:rsidRDefault="00B63D22">
      <w:pPr>
        <w:pStyle w:val="ConsPlusCell"/>
        <w:jc w:val="both"/>
      </w:pPr>
      <w:r>
        <w:rPr>
          <w:sz w:val="16"/>
        </w:rPr>
        <w:t>├─────────────────────┼──────┼──────────────┼────────────────┼───────────────┼────────────────┤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          1          </w:t>
      </w:r>
      <w:proofErr w:type="gramStart"/>
      <w:r>
        <w:rPr>
          <w:sz w:val="16"/>
        </w:rPr>
        <w:t>│  2</w:t>
      </w:r>
      <w:proofErr w:type="gramEnd"/>
      <w:r>
        <w:rPr>
          <w:sz w:val="16"/>
        </w:rPr>
        <w:t xml:space="preserve">   │      3       │       4        │       5       │       6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├─────────────────────┼──────┼──────────────┼────────────────┼───────────────┼────────────────┤</w:t>
      </w:r>
    </w:p>
    <w:p w:rsidR="00B63D22" w:rsidRDefault="00B63D22">
      <w:pPr>
        <w:pStyle w:val="ConsPlusCell"/>
        <w:jc w:val="both"/>
      </w:pPr>
      <w:bookmarkStart w:id="8" w:name="P111"/>
      <w:bookmarkEnd w:id="8"/>
      <w:r>
        <w:rPr>
          <w:sz w:val="16"/>
        </w:rPr>
        <w:t>│Отчет по подсчету    │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│(переоценке) запасов </w:t>
      </w:r>
      <w:proofErr w:type="gramStart"/>
      <w:r>
        <w:rPr>
          <w:sz w:val="16"/>
        </w:rPr>
        <w:t>│  01</w:t>
      </w:r>
      <w:proofErr w:type="gramEnd"/>
      <w:r>
        <w:rPr>
          <w:sz w:val="16"/>
        </w:rPr>
        <w:t xml:space="preserve">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├─────────────────────┼──────┼──────────────┼────────────────┼───────────────┼────────────────┤</w:t>
      </w:r>
    </w:p>
    <w:p w:rsidR="00B63D22" w:rsidRDefault="00B63D22">
      <w:pPr>
        <w:pStyle w:val="ConsPlusCell"/>
        <w:jc w:val="both"/>
      </w:pPr>
      <w:bookmarkStart w:id="9" w:name="P114"/>
      <w:bookmarkEnd w:id="9"/>
      <w:r>
        <w:rPr>
          <w:sz w:val="16"/>
        </w:rPr>
        <w:t>│Проект               │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│геологического       │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│изучения (</w:t>
      </w:r>
      <w:proofErr w:type="gramStart"/>
      <w:r>
        <w:rPr>
          <w:sz w:val="16"/>
        </w:rPr>
        <w:t>разведки)  │</w:t>
      </w:r>
      <w:proofErr w:type="gramEnd"/>
      <w:r>
        <w:rPr>
          <w:sz w:val="16"/>
        </w:rPr>
        <w:t xml:space="preserve">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│участка недр         │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│месторождения        │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│участка              │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 xml:space="preserve">месторождения:   </w:t>
      </w:r>
      <w:proofErr w:type="gramEnd"/>
      <w:r>
        <w:rPr>
          <w:sz w:val="16"/>
        </w:rPr>
        <w:t xml:space="preserve">    │      │              │                │               │                │</w:t>
      </w:r>
    </w:p>
    <w:p w:rsidR="00B63D22" w:rsidRDefault="00B63D22">
      <w:pPr>
        <w:pStyle w:val="ConsPlusCell"/>
        <w:jc w:val="both"/>
      </w:pPr>
      <w:proofErr w:type="gramStart"/>
      <w:r>
        <w:rPr>
          <w:sz w:val="16"/>
        </w:rPr>
        <w:t>│  лицензия</w:t>
      </w:r>
      <w:proofErr w:type="gramEnd"/>
      <w:r>
        <w:rPr>
          <w:sz w:val="16"/>
        </w:rPr>
        <w:t xml:space="preserve"> типа МП   │  02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├─────────────────────┼──────┼──────────────┼────────────────┼───────────────┼────────────────┤</w:t>
      </w:r>
    </w:p>
    <w:p w:rsidR="00B63D22" w:rsidRDefault="00B63D22">
      <w:pPr>
        <w:pStyle w:val="ConsPlusCell"/>
        <w:jc w:val="both"/>
      </w:pPr>
      <w:proofErr w:type="gramStart"/>
      <w:r>
        <w:rPr>
          <w:sz w:val="16"/>
        </w:rPr>
        <w:t>│  лицензия</w:t>
      </w:r>
      <w:proofErr w:type="gramEnd"/>
      <w:r>
        <w:rPr>
          <w:sz w:val="16"/>
        </w:rPr>
        <w:t xml:space="preserve"> типа МЭ   │  03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├─────────────────────┼──────┼──────────────┼────────────────┼───────────────┼────────────────┤</w:t>
      </w:r>
    </w:p>
    <w:p w:rsidR="00B63D22" w:rsidRDefault="00B63D22">
      <w:pPr>
        <w:pStyle w:val="ConsPlusCell"/>
        <w:jc w:val="both"/>
      </w:pPr>
      <w:bookmarkStart w:id="10" w:name="P125"/>
      <w:bookmarkEnd w:id="10"/>
      <w:proofErr w:type="gramStart"/>
      <w:r>
        <w:rPr>
          <w:sz w:val="16"/>
        </w:rPr>
        <w:t>│  лицензия</w:t>
      </w:r>
      <w:proofErr w:type="gramEnd"/>
      <w:r>
        <w:rPr>
          <w:sz w:val="16"/>
        </w:rPr>
        <w:t xml:space="preserve"> типа МР   │  04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├─────────────────────┼──────┼──────────────┼────────────────┼───────────────┼────────────────┤</w:t>
      </w:r>
    </w:p>
    <w:p w:rsidR="00B63D22" w:rsidRDefault="00B63D22">
      <w:pPr>
        <w:pStyle w:val="ConsPlusCell"/>
        <w:jc w:val="both"/>
      </w:pPr>
      <w:bookmarkStart w:id="11" w:name="P127"/>
      <w:bookmarkEnd w:id="11"/>
      <w:r>
        <w:rPr>
          <w:sz w:val="16"/>
        </w:rPr>
        <w:t>│Технологическая      │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│схема </w:t>
      </w:r>
      <w:proofErr w:type="gramStart"/>
      <w:r>
        <w:rPr>
          <w:sz w:val="16"/>
        </w:rPr>
        <w:t xml:space="preserve">разработки:   </w:t>
      </w:r>
      <w:proofErr w:type="gramEnd"/>
      <w:r>
        <w:rPr>
          <w:sz w:val="16"/>
        </w:rPr>
        <w:t xml:space="preserve"> │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│месторождения        </w:t>
      </w:r>
      <w:proofErr w:type="gramStart"/>
      <w:r>
        <w:rPr>
          <w:sz w:val="16"/>
        </w:rPr>
        <w:t>│  05</w:t>
      </w:r>
      <w:proofErr w:type="gramEnd"/>
      <w:r>
        <w:rPr>
          <w:sz w:val="16"/>
        </w:rPr>
        <w:t xml:space="preserve">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├─────────────────────┼──────┼──────────────┼────────────────┼───────────────┼────────────────┤</w:t>
      </w:r>
    </w:p>
    <w:p w:rsidR="00B63D22" w:rsidRDefault="00B63D22">
      <w:pPr>
        <w:pStyle w:val="ConsPlusCell"/>
        <w:jc w:val="both"/>
      </w:pPr>
      <w:bookmarkStart w:id="12" w:name="P131"/>
      <w:bookmarkEnd w:id="12"/>
      <w:r>
        <w:rPr>
          <w:sz w:val="16"/>
        </w:rPr>
        <w:t>│участка              │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│месторождения        </w:t>
      </w:r>
      <w:proofErr w:type="gramStart"/>
      <w:r>
        <w:rPr>
          <w:sz w:val="16"/>
        </w:rPr>
        <w:t>│  06</w:t>
      </w:r>
      <w:proofErr w:type="gramEnd"/>
      <w:r>
        <w:rPr>
          <w:sz w:val="16"/>
        </w:rPr>
        <w:t xml:space="preserve">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├─────────────────────┼──────┼──────────────┼────────────────┼───────────────┼────────────────┤</w:t>
      </w:r>
    </w:p>
    <w:p w:rsidR="00B63D22" w:rsidRDefault="00B63D22">
      <w:pPr>
        <w:pStyle w:val="ConsPlusCell"/>
        <w:jc w:val="both"/>
      </w:pPr>
      <w:bookmarkStart w:id="13" w:name="P134"/>
      <w:bookmarkEnd w:id="13"/>
      <w:r>
        <w:rPr>
          <w:sz w:val="16"/>
        </w:rPr>
        <w:t>│Проект округа горно- │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│санитарной </w:t>
      </w:r>
      <w:proofErr w:type="gramStart"/>
      <w:r>
        <w:rPr>
          <w:sz w:val="16"/>
        </w:rPr>
        <w:t xml:space="preserve">охраны:   </w:t>
      </w:r>
      <w:proofErr w:type="gramEnd"/>
      <w:r>
        <w:rPr>
          <w:sz w:val="16"/>
        </w:rPr>
        <w:t>│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│месторождения        </w:t>
      </w:r>
      <w:proofErr w:type="gramStart"/>
      <w:r>
        <w:rPr>
          <w:sz w:val="16"/>
        </w:rPr>
        <w:t>│  07</w:t>
      </w:r>
      <w:proofErr w:type="gramEnd"/>
      <w:r>
        <w:rPr>
          <w:sz w:val="16"/>
        </w:rPr>
        <w:t xml:space="preserve">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├─────────────────────┼──────┼──────────────┼────────────────┼───────────────┼────────────────┤</w:t>
      </w:r>
    </w:p>
    <w:p w:rsidR="00B63D22" w:rsidRDefault="00B63D22">
      <w:pPr>
        <w:pStyle w:val="ConsPlusCell"/>
        <w:jc w:val="both"/>
      </w:pPr>
      <w:r>
        <w:rPr>
          <w:sz w:val="16"/>
        </w:rPr>
        <w:t>│участка              │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│месторождения        </w:t>
      </w:r>
      <w:proofErr w:type="gramStart"/>
      <w:r>
        <w:rPr>
          <w:sz w:val="16"/>
        </w:rPr>
        <w:t>│  08</w:t>
      </w:r>
      <w:proofErr w:type="gramEnd"/>
      <w:r>
        <w:rPr>
          <w:sz w:val="16"/>
        </w:rPr>
        <w:t xml:space="preserve">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├─────────────────────┼──────┼──────────────┼────────────────┼───────────────┼────────────────┤</w:t>
      </w:r>
    </w:p>
    <w:p w:rsidR="00B63D22" w:rsidRDefault="00B63D22">
      <w:pPr>
        <w:pStyle w:val="ConsPlusCell"/>
        <w:jc w:val="both"/>
      </w:pPr>
      <w:bookmarkStart w:id="14" w:name="P141"/>
      <w:bookmarkEnd w:id="14"/>
      <w:r>
        <w:rPr>
          <w:sz w:val="16"/>
        </w:rPr>
        <w:t>│Программа ведения    │    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 xml:space="preserve">│мониторинга          </w:t>
      </w:r>
      <w:proofErr w:type="gramStart"/>
      <w:r>
        <w:rPr>
          <w:sz w:val="16"/>
        </w:rPr>
        <w:t>│  09</w:t>
      </w:r>
      <w:proofErr w:type="gramEnd"/>
      <w:r>
        <w:rPr>
          <w:sz w:val="16"/>
        </w:rPr>
        <w:t xml:space="preserve">  │              │                │               │                │</w:t>
      </w:r>
    </w:p>
    <w:p w:rsidR="00B63D22" w:rsidRDefault="00B63D22">
      <w:pPr>
        <w:pStyle w:val="ConsPlusCell"/>
        <w:jc w:val="both"/>
      </w:pPr>
      <w:r>
        <w:rPr>
          <w:sz w:val="16"/>
        </w:rPr>
        <w:t>└─────────────────────┴──────┴──────────────┴────────────────┴───────────────┴────────────────┘</w:t>
      </w:r>
    </w:p>
    <w:p w:rsidR="00B63D22" w:rsidRDefault="00B63D22">
      <w:pPr>
        <w:pStyle w:val="ConsPlusNormal"/>
        <w:jc w:val="both"/>
      </w:pPr>
    </w:p>
    <w:p w:rsidR="00B63D22" w:rsidRDefault="00B63D22">
      <w:pPr>
        <w:pStyle w:val="ConsPlusNonformat"/>
        <w:jc w:val="both"/>
      </w:pPr>
      <w:bookmarkStart w:id="15" w:name="P145"/>
      <w:bookmarkEnd w:id="15"/>
      <w:r>
        <w:t xml:space="preserve">                Раздел 3. Сведения о водоносных горизонтах</w:t>
      </w:r>
    </w:p>
    <w:p w:rsidR="00B63D22" w:rsidRDefault="00B63D22">
      <w:pPr>
        <w:pStyle w:val="ConsPlusNonformat"/>
        <w:jc w:val="both"/>
      </w:pPr>
      <w:r>
        <w:t xml:space="preserve">                          на лицензионном участке</w:t>
      </w:r>
    </w:p>
    <w:p w:rsidR="00B63D22" w:rsidRDefault="00B63D22">
      <w:pPr>
        <w:pStyle w:val="ConsPlusNonformat"/>
        <w:jc w:val="both"/>
      </w:pPr>
    </w:p>
    <w:p w:rsidR="00B63D22" w:rsidRDefault="00B63D22">
      <w:pPr>
        <w:pStyle w:val="ConsPlusNonformat"/>
        <w:jc w:val="both"/>
      </w:pPr>
      <w:r>
        <w:t xml:space="preserve">                                                    Код по ОКЕИ: метр - </w:t>
      </w:r>
      <w:hyperlink r:id="rId10" w:history="1">
        <w:r>
          <w:rPr>
            <w:color w:val="0000FF"/>
          </w:rPr>
          <w:t>006</w:t>
        </w:r>
      </w:hyperlink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770"/>
        <w:gridCol w:w="1062"/>
        <w:gridCol w:w="590"/>
        <w:gridCol w:w="826"/>
        <w:gridCol w:w="1888"/>
        <w:gridCol w:w="1888"/>
        <w:gridCol w:w="1534"/>
      </w:tblGrid>
      <w:tr w:rsidR="00B63D22">
        <w:trPr>
          <w:trHeight w:val="239"/>
        </w:trPr>
        <w:tc>
          <w:tcPr>
            <w:tcW w:w="1770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t xml:space="preserve">Наименование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водоносного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горизонта  </w:t>
            </w:r>
          </w:p>
        </w:tc>
        <w:tc>
          <w:tcPr>
            <w:tcW w:w="1062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t xml:space="preserve">   N 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строки </w:t>
            </w:r>
          </w:p>
        </w:tc>
        <w:tc>
          <w:tcPr>
            <w:tcW w:w="6726" w:type="dxa"/>
            <w:gridSpan w:val="5"/>
          </w:tcPr>
          <w:p w:rsidR="00B63D22" w:rsidRDefault="00B63D22">
            <w:pPr>
              <w:pStyle w:val="ConsPlusNonformat"/>
              <w:jc w:val="both"/>
            </w:pPr>
            <w:r>
              <w:t xml:space="preserve">          Сведения о водоносном горизонте          </w:t>
            </w:r>
          </w:p>
        </w:tc>
      </w:tr>
      <w:tr w:rsidR="00B63D22">
        <w:tc>
          <w:tcPr>
            <w:tcW w:w="1652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944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1416" w:type="dxa"/>
            <w:gridSpan w:val="2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Глубина </w:t>
            </w:r>
          </w:p>
          <w:p w:rsidR="00B63D22" w:rsidRDefault="00B63D22">
            <w:pPr>
              <w:pStyle w:val="ConsPlusNonformat"/>
              <w:jc w:val="both"/>
            </w:pPr>
            <w:r>
              <w:t>залегания</w:t>
            </w:r>
          </w:p>
          <w:p w:rsidR="00B63D22" w:rsidRDefault="00B63D22">
            <w:pPr>
              <w:pStyle w:val="ConsPlusNonformat"/>
              <w:jc w:val="both"/>
            </w:pPr>
            <w:r>
              <w:t>кровли, м</w:t>
            </w:r>
          </w:p>
        </w:tc>
        <w:tc>
          <w:tcPr>
            <w:tcW w:w="1888" w:type="dxa"/>
            <w:vMerge w:val="restart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Глубина  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статического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уровня или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избыточное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 давление 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(средняя), м </w:t>
            </w:r>
          </w:p>
        </w:tc>
        <w:tc>
          <w:tcPr>
            <w:tcW w:w="1888" w:type="dxa"/>
            <w:vMerge w:val="restart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Глубина  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динамического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уровня или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 давления 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 (средняя 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годовая), м  </w:t>
            </w:r>
          </w:p>
        </w:tc>
        <w:tc>
          <w:tcPr>
            <w:tcW w:w="1534" w:type="dxa"/>
            <w:vMerge w:val="restart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Тип    </w:t>
            </w:r>
          </w:p>
          <w:p w:rsidR="00B63D22" w:rsidRDefault="00B63D22">
            <w:pPr>
              <w:pStyle w:val="ConsPlusNonformat"/>
              <w:jc w:val="both"/>
            </w:pPr>
            <w:r>
              <w:t>минеральной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 воды    </w:t>
            </w:r>
          </w:p>
        </w:tc>
      </w:tr>
      <w:tr w:rsidR="00B63D22">
        <w:tc>
          <w:tcPr>
            <w:tcW w:w="1652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944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от </w:t>
            </w:r>
          </w:p>
        </w:tc>
        <w:tc>
          <w:tcPr>
            <w:tcW w:w="82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до  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1770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1416" w:type="dxa"/>
            <w:vMerge/>
            <w:tcBorders>
              <w:top w:val="nil"/>
            </w:tcBorders>
          </w:tcPr>
          <w:p w:rsidR="00B63D22" w:rsidRDefault="00B63D22"/>
        </w:tc>
      </w:tr>
      <w:tr w:rsidR="00B63D22">
        <w:trPr>
          <w:trHeight w:val="239"/>
        </w:trPr>
        <w:tc>
          <w:tcPr>
            <w:tcW w:w="177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  1      </w:t>
            </w:r>
          </w:p>
        </w:tc>
        <w:tc>
          <w:tcPr>
            <w:tcW w:w="106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2   </w:t>
            </w: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82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188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  5       </w:t>
            </w:r>
          </w:p>
        </w:tc>
        <w:tc>
          <w:tcPr>
            <w:tcW w:w="188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  6       </w:t>
            </w: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 7     </w:t>
            </w:r>
          </w:p>
        </w:tc>
      </w:tr>
      <w:tr w:rsidR="00B63D22">
        <w:trPr>
          <w:trHeight w:val="239"/>
        </w:trPr>
        <w:tc>
          <w:tcPr>
            <w:tcW w:w="177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Первого      </w:t>
            </w:r>
          </w:p>
        </w:tc>
        <w:tc>
          <w:tcPr>
            <w:tcW w:w="106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10   </w:t>
            </w: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bookmarkStart w:id="16" w:name="P161"/>
            <w:bookmarkEnd w:id="16"/>
          </w:p>
        </w:tc>
      </w:tr>
      <w:tr w:rsidR="00B63D22">
        <w:trPr>
          <w:trHeight w:val="239"/>
        </w:trPr>
        <w:tc>
          <w:tcPr>
            <w:tcW w:w="177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Второго      </w:t>
            </w:r>
          </w:p>
        </w:tc>
        <w:tc>
          <w:tcPr>
            <w:tcW w:w="106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11   </w:t>
            </w: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bookmarkStart w:id="17" w:name="P163"/>
            <w:bookmarkEnd w:id="17"/>
          </w:p>
        </w:tc>
      </w:tr>
      <w:tr w:rsidR="00B63D22">
        <w:trPr>
          <w:trHeight w:val="239"/>
        </w:trPr>
        <w:tc>
          <w:tcPr>
            <w:tcW w:w="177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lastRenderedPageBreak/>
              <w:t xml:space="preserve">Третьего     </w:t>
            </w:r>
          </w:p>
        </w:tc>
        <w:tc>
          <w:tcPr>
            <w:tcW w:w="106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12   </w:t>
            </w: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bookmarkStart w:id="18" w:name="P165"/>
            <w:bookmarkEnd w:id="18"/>
          </w:p>
        </w:tc>
      </w:tr>
    </w:tbl>
    <w:p w:rsidR="00B63D22" w:rsidRDefault="00B63D22">
      <w:pPr>
        <w:pStyle w:val="ConsPlusNormal"/>
        <w:jc w:val="both"/>
      </w:pPr>
    </w:p>
    <w:p w:rsidR="00B63D22" w:rsidRDefault="00B63D22">
      <w:pPr>
        <w:pStyle w:val="ConsPlusNonformat"/>
        <w:jc w:val="both"/>
      </w:pPr>
      <w:bookmarkStart w:id="19" w:name="P168"/>
      <w:bookmarkEnd w:id="19"/>
      <w:r>
        <w:t xml:space="preserve">                      Раздел 4. Сведения о скважинах</w:t>
      </w:r>
    </w:p>
    <w:p w:rsidR="00B63D22" w:rsidRDefault="00B63D22">
      <w:pPr>
        <w:pStyle w:val="ConsPlusNonformat"/>
        <w:jc w:val="both"/>
      </w:pPr>
    </w:p>
    <w:p w:rsidR="00B63D22" w:rsidRDefault="00B63D22">
      <w:pPr>
        <w:pStyle w:val="ConsPlusNonformat"/>
        <w:jc w:val="both"/>
      </w:pPr>
      <w:r>
        <w:t xml:space="preserve">                                      Коды по ОКЕИ: штука - </w:t>
      </w:r>
      <w:hyperlink r:id="rId11" w:history="1">
        <w:r>
          <w:rPr>
            <w:color w:val="0000FF"/>
          </w:rPr>
          <w:t>796</w:t>
        </w:r>
      </w:hyperlink>
      <w:r>
        <w:t xml:space="preserve">, метр - </w:t>
      </w:r>
      <w:hyperlink r:id="rId12" w:history="1">
        <w:r>
          <w:rPr>
            <w:color w:val="0000FF"/>
          </w:rPr>
          <w:t>006</w:t>
        </w:r>
      </w:hyperlink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068"/>
        <w:gridCol w:w="944"/>
        <w:gridCol w:w="944"/>
        <w:gridCol w:w="944"/>
        <w:gridCol w:w="944"/>
        <w:gridCol w:w="590"/>
        <w:gridCol w:w="472"/>
        <w:gridCol w:w="590"/>
        <w:gridCol w:w="472"/>
        <w:gridCol w:w="590"/>
        <w:gridCol w:w="472"/>
      </w:tblGrid>
      <w:tr w:rsidR="00B63D22">
        <w:trPr>
          <w:trHeight w:val="239"/>
        </w:trPr>
        <w:tc>
          <w:tcPr>
            <w:tcW w:w="3068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t xml:space="preserve"> Наименование скважин   </w:t>
            </w:r>
          </w:p>
        </w:tc>
        <w:tc>
          <w:tcPr>
            <w:tcW w:w="944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t xml:space="preserve">  N   </w:t>
            </w:r>
          </w:p>
          <w:p w:rsidR="00B63D22" w:rsidRDefault="00B63D22">
            <w:pPr>
              <w:pStyle w:val="ConsPlusNonformat"/>
              <w:jc w:val="both"/>
            </w:pPr>
            <w:r>
              <w:t>строки</w:t>
            </w:r>
          </w:p>
        </w:tc>
        <w:tc>
          <w:tcPr>
            <w:tcW w:w="2832" w:type="dxa"/>
            <w:gridSpan w:val="3"/>
          </w:tcPr>
          <w:p w:rsidR="00B63D22" w:rsidRDefault="00B63D22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  <w:tc>
          <w:tcPr>
            <w:tcW w:w="3186" w:type="dxa"/>
            <w:gridSpan w:val="6"/>
          </w:tcPr>
          <w:p w:rsidR="00B63D22" w:rsidRDefault="00B63D22">
            <w:pPr>
              <w:pStyle w:val="ConsPlusNonformat"/>
              <w:jc w:val="both"/>
            </w:pPr>
            <w:r>
              <w:t xml:space="preserve">     Глубина, м     </w:t>
            </w:r>
          </w:p>
        </w:tc>
      </w:tr>
      <w:tr w:rsidR="00B63D22">
        <w:tc>
          <w:tcPr>
            <w:tcW w:w="2950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826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1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3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5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1062" w:type="dxa"/>
            <w:gridSpan w:val="2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1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062" w:type="dxa"/>
            <w:gridSpan w:val="2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3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062" w:type="dxa"/>
            <w:gridSpan w:val="2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5" w:history="1">
              <w:r>
                <w:rPr>
                  <w:color w:val="0000FF"/>
                </w:rPr>
                <w:t>12</w:t>
              </w:r>
            </w:hyperlink>
          </w:p>
        </w:tc>
      </w:tr>
      <w:tr w:rsidR="00B63D22">
        <w:tc>
          <w:tcPr>
            <w:tcW w:w="2950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826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от </w:t>
            </w: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>до</w:t>
            </w: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от </w:t>
            </w: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>до</w:t>
            </w: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от </w:t>
            </w: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>до</w:t>
            </w:r>
          </w:p>
        </w:tc>
      </w:tr>
      <w:tr w:rsidR="00B63D22">
        <w:trPr>
          <w:trHeight w:val="239"/>
        </w:trPr>
        <w:tc>
          <w:tcPr>
            <w:tcW w:w="306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       1            </w:t>
            </w: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6 </w:t>
            </w: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7 </w:t>
            </w: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8 </w:t>
            </w: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9 </w:t>
            </w: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>11</w:t>
            </w:r>
          </w:p>
        </w:tc>
      </w:tr>
      <w:tr w:rsidR="00B63D22">
        <w:trPr>
          <w:trHeight w:val="239"/>
        </w:trPr>
        <w:tc>
          <w:tcPr>
            <w:tcW w:w="306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Эксплуатационные        </w:t>
            </w: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13  </w:t>
            </w: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</w:tr>
      <w:tr w:rsidR="00B63D22">
        <w:trPr>
          <w:trHeight w:val="239"/>
        </w:trPr>
        <w:tc>
          <w:tcPr>
            <w:tcW w:w="306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Резервные               </w:t>
            </w: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14  </w:t>
            </w: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</w:tr>
      <w:tr w:rsidR="00B63D22">
        <w:trPr>
          <w:trHeight w:val="239"/>
        </w:trPr>
        <w:tc>
          <w:tcPr>
            <w:tcW w:w="306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Наблюдательные          </w:t>
            </w: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15  </w:t>
            </w: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</w:tr>
      <w:tr w:rsidR="00B63D22">
        <w:trPr>
          <w:trHeight w:val="239"/>
        </w:trPr>
        <w:tc>
          <w:tcPr>
            <w:tcW w:w="306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Ликвидированные         </w:t>
            </w: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16  </w:t>
            </w: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9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5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47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</w:tr>
    </w:tbl>
    <w:p w:rsidR="00B63D22" w:rsidRDefault="00B63D22">
      <w:pPr>
        <w:pStyle w:val="ConsPlusNormal"/>
        <w:jc w:val="both"/>
      </w:pPr>
    </w:p>
    <w:p w:rsidR="00B63D22" w:rsidRDefault="00B63D22">
      <w:pPr>
        <w:pStyle w:val="ConsPlusNonformat"/>
        <w:jc w:val="both"/>
      </w:pPr>
      <w:bookmarkStart w:id="20" w:name="P191"/>
      <w:bookmarkEnd w:id="20"/>
      <w:r>
        <w:rPr>
          <w:sz w:val="18"/>
        </w:rPr>
        <w:t xml:space="preserve">           Раздел 5. Сведения об объемах добычи минеральной воды</w:t>
      </w:r>
    </w:p>
    <w:p w:rsidR="00B63D22" w:rsidRDefault="00B63D22">
      <w:pPr>
        <w:pStyle w:val="ConsPlusNonformat"/>
        <w:jc w:val="both"/>
      </w:pPr>
    </w:p>
    <w:p w:rsidR="00B63D22" w:rsidRDefault="00B63D22">
      <w:pPr>
        <w:pStyle w:val="ConsPlusNonformat"/>
        <w:jc w:val="both"/>
      </w:pPr>
      <w:r>
        <w:rPr>
          <w:sz w:val="18"/>
        </w:rPr>
        <w:t xml:space="preserve">                                         Код по ОКЕИ: кубический метр - </w:t>
      </w:r>
      <w:hyperlink r:id="rId13" w:history="1">
        <w:r>
          <w:rPr>
            <w:color w:val="0000FF"/>
            <w:sz w:val="18"/>
          </w:rPr>
          <w:t>113</w:t>
        </w:r>
      </w:hyperlink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90"/>
        <w:gridCol w:w="880"/>
        <w:gridCol w:w="1210"/>
        <w:gridCol w:w="990"/>
        <w:gridCol w:w="1100"/>
        <w:gridCol w:w="990"/>
        <w:gridCol w:w="880"/>
        <w:gridCol w:w="880"/>
        <w:gridCol w:w="880"/>
      </w:tblGrid>
      <w:tr w:rsidR="00B63D22">
        <w:trPr>
          <w:trHeight w:val="225"/>
        </w:trPr>
        <w:tc>
          <w:tcPr>
            <w:tcW w:w="2090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Использование 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минеральной воды </w:t>
            </w:r>
          </w:p>
        </w:tc>
        <w:tc>
          <w:tcPr>
            <w:tcW w:w="880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N 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>строки</w:t>
            </w:r>
          </w:p>
        </w:tc>
        <w:tc>
          <w:tcPr>
            <w:tcW w:w="1210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Единица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5720" w:type="dxa"/>
            <w:gridSpan w:val="6"/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Уровень добычи                </w:t>
            </w:r>
          </w:p>
        </w:tc>
      </w:tr>
      <w:tr w:rsidR="00B63D22">
        <w:tc>
          <w:tcPr>
            <w:tcW w:w="1980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770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1100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3080" w:type="dxa"/>
            <w:gridSpan w:val="3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>Установленный в лицензии</w:t>
            </w:r>
          </w:p>
        </w:tc>
        <w:tc>
          <w:tcPr>
            <w:tcW w:w="2640" w:type="dxa"/>
            <w:gridSpan w:val="3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Фактическая добыча </w:t>
            </w:r>
          </w:p>
        </w:tc>
      </w:tr>
      <w:tr w:rsidR="00B63D22">
        <w:tc>
          <w:tcPr>
            <w:tcW w:w="1980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770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1100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9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по 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строке </w:t>
            </w:r>
          </w:p>
          <w:p w:rsidR="00B63D22" w:rsidRDefault="00B63D22">
            <w:pPr>
              <w:pStyle w:val="ConsPlusNonformat"/>
              <w:jc w:val="both"/>
            </w:pPr>
            <w:hyperlink w:anchor="P161" w:history="1">
              <w:r>
                <w:rPr>
                  <w:color w:val="0000FF"/>
                  <w:sz w:val="18"/>
                </w:rPr>
                <w:t>10</w:t>
              </w:r>
            </w:hyperlink>
          </w:p>
        </w:tc>
        <w:tc>
          <w:tcPr>
            <w:tcW w:w="110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 по 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строке </w:t>
            </w:r>
          </w:p>
          <w:p w:rsidR="00B63D22" w:rsidRDefault="00B63D22">
            <w:pPr>
              <w:pStyle w:val="ConsPlusNonformat"/>
              <w:jc w:val="both"/>
            </w:pPr>
            <w:hyperlink w:anchor="P163" w:history="1">
              <w:r>
                <w:rPr>
                  <w:color w:val="0000FF"/>
                  <w:sz w:val="18"/>
                </w:rPr>
                <w:t>11</w:t>
              </w:r>
            </w:hyperlink>
          </w:p>
        </w:tc>
        <w:tc>
          <w:tcPr>
            <w:tcW w:w="9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по 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строке </w:t>
            </w:r>
          </w:p>
          <w:p w:rsidR="00B63D22" w:rsidRDefault="00B63D22">
            <w:pPr>
              <w:pStyle w:val="ConsPlusNonformat"/>
              <w:jc w:val="both"/>
            </w:pPr>
            <w:hyperlink w:anchor="P165" w:history="1">
              <w:r>
                <w:rPr>
                  <w:color w:val="0000FF"/>
                  <w:sz w:val="18"/>
                </w:rPr>
                <w:t>12</w:t>
              </w:r>
            </w:hyperlink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1" w:history="1">
              <w:r>
                <w:rPr>
                  <w:color w:val="0000FF"/>
                  <w:sz w:val="18"/>
                </w:rPr>
                <w:t>10</w:t>
              </w:r>
            </w:hyperlink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3" w:history="1">
              <w:r>
                <w:rPr>
                  <w:color w:val="0000FF"/>
                  <w:sz w:val="18"/>
                </w:rPr>
                <w:t>11</w:t>
              </w:r>
            </w:hyperlink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5" w:history="1">
              <w:r>
                <w:rPr>
                  <w:color w:val="0000FF"/>
                  <w:sz w:val="18"/>
                </w:rPr>
                <w:t>12</w:t>
              </w:r>
            </w:hyperlink>
          </w:p>
        </w:tc>
      </w:tr>
      <w:tr w:rsidR="00B63D22">
        <w:trPr>
          <w:trHeight w:val="225"/>
        </w:trPr>
        <w:tc>
          <w:tcPr>
            <w:tcW w:w="20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      1        </w:t>
            </w:r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2   </w:t>
            </w:r>
          </w:p>
        </w:tc>
        <w:tc>
          <w:tcPr>
            <w:tcW w:w="121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  3    </w:t>
            </w:r>
          </w:p>
        </w:tc>
        <w:tc>
          <w:tcPr>
            <w:tcW w:w="9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 4   </w:t>
            </w:r>
          </w:p>
        </w:tc>
        <w:tc>
          <w:tcPr>
            <w:tcW w:w="110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 5    </w:t>
            </w:r>
          </w:p>
        </w:tc>
        <w:tc>
          <w:tcPr>
            <w:tcW w:w="9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 6   </w:t>
            </w:r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7   </w:t>
            </w:r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8   </w:t>
            </w:r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9   </w:t>
            </w:r>
          </w:p>
        </w:tc>
      </w:tr>
      <w:tr w:rsidR="00B63D22">
        <w:trPr>
          <w:trHeight w:val="225"/>
        </w:trPr>
        <w:tc>
          <w:tcPr>
            <w:tcW w:w="20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Для              </w:t>
            </w:r>
          </w:p>
          <w:p w:rsidR="00B63D22" w:rsidRDefault="00B63D22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бальнеоприменения</w:t>
            </w:r>
            <w:proofErr w:type="spellEnd"/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17  </w:t>
            </w:r>
          </w:p>
        </w:tc>
        <w:tc>
          <w:tcPr>
            <w:tcW w:w="121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 м3    </w:t>
            </w:r>
          </w:p>
        </w:tc>
        <w:tc>
          <w:tcPr>
            <w:tcW w:w="9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bookmarkStart w:id="21" w:name="P205"/>
            <w:bookmarkEnd w:id="21"/>
          </w:p>
        </w:tc>
      </w:tr>
      <w:tr w:rsidR="00B63D22">
        <w:trPr>
          <w:trHeight w:val="225"/>
        </w:trPr>
        <w:tc>
          <w:tcPr>
            <w:tcW w:w="20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Для розлива      </w:t>
            </w:r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18  </w:t>
            </w:r>
          </w:p>
        </w:tc>
        <w:tc>
          <w:tcPr>
            <w:tcW w:w="121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8"/>
              </w:rPr>
              <w:t xml:space="preserve">   м3    </w:t>
            </w:r>
          </w:p>
        </w:tc>
        <w:tc>
          <w:tcPr>
            <w:tcW w:w="9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10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88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bookmarkStart w:id="22" w:name="P208"/>
            <w:bookmarkEnd w:id="22"/>
          </w:p>
        </w:tc>
      </w:tr>
    </w:tbl>
    <w:p w:rsidR="00B63D22" w:rsidRDefault="00B63D22">
      <w:pPr>
        <w:pStyle w:val="ConsPlusNormal"/>
        <w:jc w:val="both"/>
      </w:pPr>
    </w:p>
    <w:p w:rsidR="00B63D22" w:rsidRDefault="00B63D22">
      <w:pPr>
        <w:pStyle w:val="ConsPlusNonformat"/>
        <w:jc w:val="both"/>
      </w:pPr>
      <w:bookmarkStart w:id="23" w:name="P211"/>
      <w:bookmarkEnd w:id="23"/>
      <w:r>
        <w:t xml:space="preserve">              Раздел 6. Сведения о качестве минеральной воды</w:t>
      </w:r>
    </w:p>
    <w:p w:rsidR="00B63D22" w:rsidRDefault="00B63D22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360"/>
        <w:gridCol w:w="1062"/>
        <w:gridCol w:w="1298"/>
        <w:gridCol w:w="1534"/>
        <w:gridCol w:w="1652"/>
        <w:gridCol w:w="1534"/>
      </w:tblGrid>
      <w:tr w:rsidR="00B63D22">
        <w:trPr>
          <w:trHeight w:val="239"/>
        </w:trPr>
        <w:tc>
          <w:tcPr>
            <w:tcW w:w="2360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t xml:space="preserve">   Наименование 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контролируемых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  химических  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   компонентов    </w:t>
            </w:r>
          </w:p>
        </w:tc>
        <w:tc>
          <w:tcPr>
            <w:tcW w:w="1062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t xml:space="preserve">   N   </w:t>
            </w:r>
          </w:p>
          <w:p w:rsidR="00B63D22" w:rsidRDefault="00B63D22">
            <w:pPr>
              <w:pStyle w:val="ConsPlusNonformat"/>
              <w:jc w:val="both"/>
            </w:pPr>
            <w:r>
              <w:t xml:space="preserve">строки </w:t>
            </w:r>
          </w:p>
        </w:tc>
        <w:tc>
          <w:tcPr>
            <w:tcW w:w="1298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t xml:space="preserve"> Единица </w:t>
            </w:r>
          </w:p>
          <w:p w:rsidR="00B63D22" w:rsidRDefault="00B63D22">
            <w:pPr>
              <w:pStyle w:val="ConsPlusNonformat"/>
              <w:jc w:val="both"/>
            </w:pPr>
            <w:r>
              <w:t>измерения</w:t>
            </w:r>
          </w:p>
        </w:tc>
        <w:tc>
          <w:tcPr>
            <w:tcW w:w="4720" w:type="dxa"/>
            <w:gridSpan w:val="3"/>
          </w:tcPr>
          <w:p w:rsidR="00B63D22" w:rsidRDefault="00B63D22">
            <w:pPr>
              <w:pStyle w:val="ConsPlusNonformat"/>
              <w:jc w:val="both"/>
            </w:pPr>
            <w:r>
              <w:t xml:space="preserve">     Среднее годовое содержание     </w:t>
            </w:r>
          </w:p>
        </w:tc>
      </w:tr>
      <w:tr w:rsidR="00B63D22">
        <w:tc>
          <w:tcPr>
            <w:tcW w:w="2242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944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1180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по строке </w:t>
            </w:r>
          </w:p>
          <w:p w:rsidR="00B63D22" w:rsidRDefault="00B63D22">
            <w:pPr>
              <w:pStyle w:val="ConsPlusNonformat"/>
              <w:jc w:val="both"/>
            </w:pPr>
            <w:hyperlink w:anchor="P161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165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по строке  </w:t>
            </w:r>
          </w:p>
          <w:p w:rsidR="00B63D22" w:rsidRDefault="00B63D22">
            <w:pPr>
              <w:pStyle w:val="ConsPlusNonformat"/>
              <w:jc w:val="both"/>
            </w:pPr>
            <w:hyperlink w:anchor="P163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по строке </w:t>
            </w:r>
          </w:p>
          <w:p w:rsidR="00B63D22" w:rsidRDefault="00B63D22">
            <w:pPr>
              <w:pStyle w:val="ConsPlusNonformat"/>
              <w:jc w:val="both"/>
            </w:pPr>
            <w:hyperlink w:anchor="P165" w:history="1">
              <w:r>
                <w:rPr>
                  <w:color w:val="0000FF"/>
                </w:rPr>
                <w:t>12</w:t>
              </w:r>
            </w:hyperlink>
          </w:p>
        </w:tc>
      </w:tr>
      <w:tr w:rsidR="00B63D22">
        <w:trPr>
          <w:trHeight w:val="239"/>
        </w:trPr>
        <w:tc>
          <w:tcPr>
            <w:tcW w:w="236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    1         </w:t>
            </w:r>
          </w:p>
        </w:tc>
        <w:tc>
          <w:tcPr>
            <w:tcW w:w="106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2   </w:t>
            </w:r>
          </w:p>
        </w:tc>
        <w:tc>
          <w:tcPr>
            <w:tcW w:w="129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3    </w:t>
            </w: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165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 5      </w:t>
            </w: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   6     </w:t>
            </w:r>
          </w:p>
        </w:tc>
      </w:tr>
      <w:tr w:rsidR="00B63D22">
        <w:trPr>
          <w:trHeight w:val="239"/>
        </w:trPr>
        <w:tc>
          <w:tcPr>
            <w:tcW w:w="236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19   </w:t>
            </w:r>
          </w:p>
        </w:tc>
        <w:tc>
          <w:tcPr>
            <w:tcW w:w="129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</w:tr>
      <w:tr w:rsidR="00B63D22">
        <w:trPr>
          <w:trHeight w:val="239"/>
        </w:trPr>
        <w:tc>
          <w:tcPr>
            <w:tcW w:w="236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20   </w:t>
            </w:r>
          </w:p>
        </w:tc>
        <w:tc>
          <w:tcPr>
            <w:tcW w:w="129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</w:tr>
      <w:tr w:rsidR="00B63D22">
        <w:trPr>
          <w:trHeight w:val="239"/>
        </w:trPr>
        <w:tc>
          <w:tcPr>
            <w:tcW w:w="236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21   </w:t>
            </w:r>
          </w:p>
        </w:tc>
        <w:tc>
          <w:tcPr>
            <w:tcW w:w="129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</w:tr>
      <w:tr w:rsidR="00B63D22">
        <w:trPr>
          <w:trHeight w:val="239"/>
        </w:trPr>
        <w:tc>
          <w:tcPr>
            <w:tcW w:w="2360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06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t xml:space="preserve">  22   </w:t>
            </w:r>
          </w:p>
        </w:tc>
        <w:tc>
          <w:tcPr>
            <w:tcW w:w="1298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652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153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</w:tr>
    </w:tbl>
    <w:p w:rsidR="00B63D22" w:rsidRDefault="00B63D22">
      <w:pPr>
        <w:pStyle w:val="ConsPlusNormal"/>
        <w:jc w:val="both"/>
      </w:pPr>
    </w:p>
    <w:p w:rsidR="00B63D22" w:rsidRDefault="00B63D22">
      <w:pPr>
        <w:pStyle w:val="ConsPlusNonformat"/>
        <w:jc w:val="both"/>
      </w:pPr>
      <w:bookmarkStart w:id="24" w:name="P230"/>
      <w:bookmarkEnd w:id="24"/>
      <w:r>
        <w:rPr>
          <w:sz w:val="16"/>
        </w:rPr>
        <w:t xml:space="preserve">             Раздел 7. Сведения о документах, регламентирующих</w:t>
      </w: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               требования к качеству минеральной воды</w:t>
      </w:r>
    </w:p>
    <w:p w:rsidR="00B63D22" w:rsidRDefault="00B63D22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B63D22">
        <w:trPr>
          <w:trHeight w:val="197"/>
        </w:trPr>
        <w:tc>
          <w:tcPr>
            <w:tcW w:w="2046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 Наименование   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   документа      </w:t>
            </w:r>
          </w:p>
        </w:tc>
        <w:tc>
          <w:tcPr>
            <w:tcW w:w="744" w:type="dxa"/>
            <w:vMerge w:val="restart"/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N 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>строки</w:t>
            </w:r>
          </w:p>
        </w:tc>
        <w:tc>
          <w:tcPr>
            <w:tcW w:w="2232" w:type="dxa"/>
            <w:gridSpan w:val="3"/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  Дата выдачи     </w:t>
            </w:r>
          </w:p>
        </w:tc>
        <w:tc>
          <w:tcPr>
            <w:tcW w:w="2232" w:type="dxa"/>
            <w:gridSpan w:val="3"/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Номер документа   </w:t>
            </w:r>
          </w:p>
        </w:tc>
        <w:tc>
          <w:tcPr>
            <w:tcW w:w="2232" w:type="dxa"/>
            <w:gridSpan w:val="3"/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Орган, выдавший 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    документ      </w:t>
            </w:r>
          </w:p>
        </w:tc>
      </w:tr>
      <w:tr w:rsidR="00B63D22">
        <w:tc>
          <w:tcPr>
            <w:tcW w:w="1953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651" w:type="dxa"/>
            <w:vMerge/>
            <w:tcBorders>
              <w:top w:val="nil"/>
            </w:tcBorders>
          </w:tcPr>
          <w:p w:rsidR="00B63D22" w:rsidRDefault="00B63D22"/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1" w:history="1">
              <w:r>
                <w:rPr>
                  <w:color w:val="0000FF"/>
                  <w:sz w:val="16"/>
                </w:rPr>
                <w:t>10</w:t>
              </w:r>
            </w:hyperlink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3" w:history="1">
              <w:r>
                <w:rPr>
                  <w:color w:val="0000FF"/>
                  <w:sz w:val="16"/>
                </w:rPr>
                <w:t>11</w:t>
              </w:r>
            </w:hyperlink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5" w:history="1">
              <w:r>
                <w:rPr>
                  <w:color w:val="0000FF"/>
                  <w:sz w:val="16"/>
                </w:rPr>
                <w:t>12</w:t>
              </w:r>
            </w:hyperlink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1" w:history="1">
              <w:r>
                <w:rPr>
                  <w:color w:val="0000FF"/>
                  <w:sz w:val="16"/>
                </w:rPr>
                <w:t>10</w:t>
              </w:r>
            </w:hyperlink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3" w:history="1">
              <w:r>
                <w:rPr>
                  <w:color w:val="0000FF"/>
                  <w:sz w:val="16"/>
                </w:rPr>
                <w:t>11</w:t>
              </w:r>
            </w:hyperlink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5" w:history="1">
              <w:r>
                <w:rPr>
                  <w:color w:val="0000FF"/>
                  <w:sz w:val="16"/>
                </w:rPr>
                <w:t>12</w:t>
              </w:r>
            </w:hyperlink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1" w:history="1">
              <w:r>
                <w:rPr>
                  <w:color w:val="0000FF"/>
                  <w:sz w:val="16"/>
                </w:rPr>
                <w:t>10</w:t>
              </w:r>
            </w:hyperlink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3" w:history="1">
              <w:r>
                <w:rPr>
                  <w:color w:val="0000FF"/>
                  <w:sz w:val="16"/>
                </w:rPr>
                <w:t>11</w:t>
              </w:r>
            </w:hyperlink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по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>строке</w:t>
            </w:r>
          </w:p>
          <w:p w:rsidR="00B63D22" w:rsidRDefault="00B63D22">
            <w:pPr>
              <w:pStyle w:val="ConsPlusNonformat"/>
              <w:jc w:val="both"/>
            </w:pPr>
            <w:hyperlink w:anchor="P165" w:history="1">
              <w:r>
                <w:rPr>
                  <w:color w:val="0000FF"/>
                  <w:sz w:val="16"/>
                </w:rPr>
                <w:t>12</w:t>
              </w:r>
            </w:hyperlink>
          </w:p>
        </w:tc>
      </w:tr>
      <w:tr w:rsidR="00B63D22">
        <w:trPr>
          <w:trHeight w:val="197"/>
        </w:trPr>
        <w:tc>
          <w:tcPr>
            <w:tcW w:w="204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        1        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2 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3 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4 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5 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6 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7 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8 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9 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10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11  </w:t>
            </w:r>
          </w:p>
        </w:tc>
      </w:tr>
      <w:tr w:rsidR="00B63D22">
        <w:trPr>
          <w:trHeight w:val="197"/>
        </w:trPr>
        <w:tc>
          <w:tcPr>
            <w:tcW w:w="204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Специальное       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медицинское       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(бальнеологическое)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заключение        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  <w:p w:rsidR="00B63D22" w:rsidRDefault="00B63D22">
            <w:pPr>
              <w:pStyle w:val="ConsPlusNonformat"/>
              <w:jc w:val="both"/>
            </w:pPr>
          </w:p>
          <w:p w:rsidR="00B63D22" w:rsidRDefault="00B63D22">
            <w:pPr>
              <w:pStyle w:val="ConsPlusNonformat"/>
              <w:jc w:val="both"/>
            </w:pP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23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bookmarkStart w:id="25" w:name="P243"/>
            <w:bookmarkEnd w:id="25"/>
          </w:p>
        </w:tc>
      </w:tr>
      <w:tr w:rsidR="00B63D22">
        <w:trPr>
          <w:trHeight w:val="197"/>
        </w:trPr>
        <w:tc>
          <w:tcPr>
            <w:tcW w:w="204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Технические условия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24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</w:tr>
      <w:tr w:rsidR="00B63D22">
        <w:trPr>
          <w:trHeight w:val="197"/>
        </w:trPr>
        <w:tc>
          <w:tcPr>
            <w:tcW w:w="2046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Свидетельство о   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государственной     </w:t>
            </w: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регистрации       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  <w:p w:rsidR="00B63D22" w:rsidRDefault="00B63D22">
            <w:pPr>
              <w:pStyle w:val="ConsPlusNonformat"/>
              <w:jc w:val="both"/>
            </w:pPr>
          </w:p>
          <w:p w:rsidR="00B63D22" w:rsidRDefault="00B63D22">
            <w:pPr>
              <w:pStyle w:val="ConsPlusNonformat"/>
              <w:jc w:val="both"/>
            </w:pPr>
            <w:r>
              <w:rPr>
                <w:sz w:val="16"/>
              </w:rPr>
              <w:t xml:space="preserve">  25  </w:t>
            </w: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</w:p>
        </w:tc>
        <w:tc>
          <w:tcPr>
            <w:tcW w:w="744" w:type="dxa"/>
            <w:tcBorders>
              <w:top w:val="nil"/>
            </w:tcBorders>
          </w:tcPr>
          <w:p w:rsidR="00B63D22" w:rsidRDefault="00B63D22">
            <w:pPr>
              <w:pStyle w:val="ConsPlusNonformat"/>
              <w:jc w:val="both"/>
            </w:pPr>
            <w:bookmarkStart w:id="26" w:name="P250"/>
            <w:bookmarkEnd w:id="26"/>
          </w:p>
        </w:tc>
      </w:tr>
    </w:tbl>
    <w:p w:rsidR="00B63D22" w:rsidRDefault="00B63D22">
      <w:pPr>
        <w:pStyle w:val="ConsPlusNormal"/>
        <w:jc w:val="both"/>
      </w:pP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   Должностное          лицо,</w:t>
      </w: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ответственное         за</w:t>
      </w: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предоставление статистической</w:t>
      </w: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информации (лицо,</w:t>
      </w: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уполномоченное предоставлять</w:t>
      </w: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статистическую информацию</w:t>
      </w: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от имени юридического </w:t>
      </w:r>
      <w:proofErr w:type="gramStart"/>
      <w:r>
        <w:rPr>
          <w:sz w:val="16"/>
        </w:rPr>
        <w:t xml:space="preserve">лица)   </w:t>
      </w:r>
      <w:proofErr w:type="gramEnd"/>
      <w:r>
        <w:rPr>
          <w:sz w:val="16"/>
        </w:rPr>
        <w:t>_____________ ______________ _____________</w:t>
      </w: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                               (</w:t>
      </w:r>
      <w:proofErr w:type="gramStart"/>
      <w:r>
        <w:rPr>
          <w:sz w:val="16"/>
        </w:rPr>
        <w:t xml:space="preserve">должность)   </w:t>
      </w:r>
      <w:proofErr w:type="gramEnd"/>
      <w:r>
        <w:rPr>
          <w:sz w:val="16"/>
        </w:rPr>
        <w:t xml:space="preserve">  (Ф.И.О.)     (подпись)</w:t>
      </w:r>
    </w:p>
    <w:p w:rsidR="00B63D22" w:rsidRDefault="00B63D22">
      <w:pPr>
        <w:pStyle w:val="ConsPlusNonformat"/>
        <w:jc w:val="both"/>
      </w:pP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                              ___________ E-</w:t>
      </w:r>
      <w:proofErr w:type="spellStart"/>
      <w:r>
        <w:rPr>
          <w:sz w:val="16"/>
        </w:rPr>
        <w:t>mail</w:t>
      </w:r>
      <w:proofErr w:type="spellEnd"/>
      <w:r>
        <w:rPr>
          <w:sz w:val="16"/>
        </w:rPr>
        <w:t>: ____ "__" ___ 20__ год</w:t>
      </w: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                                (номер           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>дата составления</w:t>
      </w: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                              контактного                   документа)</w:t>
      </w:r>
    </w:p>
    <w:p w:rsidR="00B63D22" w:rsidRDefault="00B63D22">
      <w:pPr>
        <w:pStyle w:val="ConsPlusNonformat"/>
        <w:jc w:val="both"/>
      </w:pPr>
      <w:r>
        <w:rPr>
          <w:sz w:val="16"/>
        </w:rPr>
        <w:t xml:space="preserve">                                  телефона)</w:t>
      </w: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jc w:val="center"/>
        <w:outlineLvl w:val="1"/>
      </w:pPr>
      <w:bookmarkStart w:id="27" w:name="P269"/>
      <w:bookmarkEnd w:id="27"/>
      <w:r>
        <w:t>Указания</w:t>
      </w:r>
    </w:p>
    <w:p w:rsidR="00B63D22" w:rsidRDefault="00B63D22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  <w:r>
        <w:t xml:space="preserve">1. Сведения по </w:t>
      </w:r>
      <w:hyperlink w:anchor="P47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3-ЛС предоставляют юридические лица - пользователи недр всех форм собственности, имеющие лицензии на геологическое изучение, разведку и разработку месторождений (или участков недр, не имеющих запасов, прошедших государственную экспертизу в установленном порядке) минеральных подземных лечебных и природных столовых вод, в течение всего срока действия лицензии отдельно по каждому участку недр.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В адресной </w:t>
      </w:r>
      <w:hyperlink w:anchor="P71" w:history="1">
        <w:r>
          <w:rPr>
            <w:color w:val="0000FF"/>
          </w:rPr>
          <w:t>части</w:t>
        </w:r>
      </w:hyperlink>
      <w:r>
        <w:t xml:space="preserve">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По </w:t>
      </w:r>
      <w:hyperlink w:anchor="P73" w:history="1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почтовый адрес.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Юридическое лицо проставляет в кодовой </w:t>
      </w:r>
      <w:hyperlink w:anchor="P75" w:history="1">
        <w:r>
          <w:rPr>
            <w:color w:val="0000FF"/>
          </w:rPr>
          <w:t>части</w:t>
        </w:r>
      </w:hyperlink>
      <w:r>
        <w:t xml:space="preserve">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В случае делегирования полномочий по предоставлению статистической отчетности от имени юридического лица обособленному подразделению, обособленным подразделением в кодовой </w:t>
      </w:r>
      <w:hyperlink w:anchor="P75" w:history="1">
        <w:r>
          <w:rPr>
            <w:color w:val="0000FF"/>
          </w:rPr>
          <w:t>части</w:t>
        </w:r>
      </w:hyperlink>
      <w:r>
        <w:t xml:space="preserve"> формы указывается код ОКПО (для филиала) или идентифицированный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В случае отсутствия каких-либо сведений (параметров) по показателям, предусмотренным настоящей </w:t>
      </w:r>
      <w:hyperlink w:anchor="P47" w:history="1">
        <w:r>
          <w:rPr>
            <w:color w:val="0000FF"/>
          </w:rPr>
          <w:t>формой</w:t>
        </w:r>
      </w:hyperlink>
      <w:r>
        <w:t xml:space="preserve">, в лицензии, лицензионном соглашении, а также в проектном документе в соответствующих графах ставятся прочерки. Если владелец лицензии в отчетном периоде не проводил работ, то он заполняет только </w:t>
      </w:r>
      <w:hyperlink w:anchor="P85" w:history="1">
        <w:r>
          <w:rPr>
            <w:color w:val="0000FF"/>
          </w:rPr>
          <w:t>первый раздел</w:t>
        </w:r>
      </w:hyperlink>
      <w:r>
        <w:t xml:space="preserve"> формы, а в остальных ставит прочерки.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lastRenderedPageBreak/>
        <w:t xml:space="preserve">2. В </w:t>
      </w:r>
      <w:hyperlink w:anchor="P97" w:history="1">
        <w:r>
          <w:rPr>
            <w:color w:val="0000FF"/>
          </w:rPr>
          <w:t>разделе 2</w:t>
        </w:r>
      </w:hyperlink>
      <w:r>
        <w:t xml:space="preserve"> в графе 3 по </w:t>
      </w:r>
      <w:hyperlink w:anchor="P111" w:history="1">
        <w:r>
          <w:rPr>
            <w:color w:val="0000FF"/>
          </w:rPr>
          <w:t>строке 01</w:t>
        </w:r>
      </w:hyperlink>
      <w:r>
        <w:t xml:space="preserve"> приводятся сведения по подсчету (переоценке) запасов минеральных вод, который должен выполнить недропользователь в период действия лицензии. В графе 3 по </w:t>
      </w:r>
      <w:hyperlink w:anchor="P114" w:history="1">
        <w:r>
          <w:rPr>
            <w:color w:val="0000FF"/>
          </w:rPr>
          <w:t>строкам 02</w:t>
        </w:r>
      </w:hyperlink>
      <w:r>
        <w:t xml:space="preserve"> - </w:t>
      </w:r>
      <w:hyperlink w:anchor="P141" w:history="1">
        <w:r>
          <w:rPr>
            <w:color w:val="0000FF"/>
          </w:rPr>
          <w:t>09</w:t>
        </w:r>
      </w:hyperlink>
      <w:r>
        <w:t xml:space="preserve"> проставляется дата, установленная в лицензии или в дополнении к лицензии, независимо от того, попадает она в отчетный год или нет. Если дата подготовки не установлена, то в графе 3 делается запись "не установлена".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В графах 4 - 6 по </w:t>
      </w:r>
      <w:hyperlink w:anchor="P111" w:history="1">
        <w:r>
          <w:rPr>
            <w:color w:val="0000FF"/>
          </w:rPr>
          <w:t>строкам 01</w:t>
        </w:r>
      </w:hyperlink>
      <w:r>
        <w:t xml:space="preserve"> - </w:t>
      </w:r>
      <w:hyperlink w:anchor="P125" w:history="1">
        <w:r>
          <w:rPr>
            <w:color w:val="0000FF"/>
          </w:rPr>
          <w:t>04</w:t>
        </w:r>
      </w:hyperlink>
      <w:r>
        <w:t xml:space="preserve"> приводятся сведения о фактической дате государственной экспертизы, органе государственной экспертизы, номере и дате протокола, если государственная экспертиза проведена в отчетном году, либо ставятся прочерки, если государственная экспертиза не была проведена в отчетном году. По </w:t>
      </w:r>
      <w:hyperlink w:anchor="P127" w:history="1">
        <w:r>
          <w:rPr>
            <w:color w:val="0000FF"/>
          </w:rPr>
          <w:t>строкам 05</w:t>
        </w:r>
      </w:hyperlink>
      <w:r>
        <w:t xml:space="preserve"> - </w:t>
      </w:r>
      <w:hyperlink w:anchor="P131" w:history="1">
        <w:r>
          <w:rPr>
            <w:color w:val="0000FF"/>
          </w:rPr>
          <w:t>06</w:t>
        </w:r>
      </w:hyperlink>
      <w:r>
        <w:t xml:space="preserve"> приводятся сведения о согласовании документа, органе согласования, номере и дате протокола согласования, если оно состоялось в отчетном году. По </w:t>
      </w:r>
      <w:hyperlink w:anchor="P134" w:history="1">
        <w:r>
          <w:rPr>
            <w:color w:val="0000FF"/>
          </w:rPr>
          <w:t>строкам 07</w:t>
        </w:r>
      </w:hyperlink>
      <w:r>
        <w:t xml:space="preserve"> - </w:t>
      </w:r>
      <w:hyperlink w:anchor="P141" w:history="1">
        <w:r>
          <w:rPr>
            <w:color w:val="0000FF"/>
          </w:rPr>
          <w:t>09</w:t>
        </w:r>
      </w:hyperlink>
      <w:r>
        <w:t xml:space="preserve"> приводятся сведения об утверждении документа, органе утверждения и дате утверждения, если оно состоялось в отчетном году.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3. В </w:t>
      </w:r>
      <w:hyperlink w:anchor="P145" w:history="1">
        <w:r>
          <w:rPr>
            <w:color w:val="0000FF"/>
          </w:rPr>
          <w:t>разделе 3</w:t>
        </w:r>
      </w:hyperlink>
      <w:r>
        <w:t xml:space="preserve"> по </w:t>
      </w:r>
      <w:hyperlink w:anchor="P161" w:history="1">
        <w:r>
          <w:rPr>
            <w:color w:val="0000FF"/>
          </w:rPr>
          <w:t>строкам 10</w:t>
        </w:r>
      </w:hyperlink>
      <w:r>
        <w:t xml:space="preserve"> - </w:t>
      </w:r>
      <w:hyperlink w:anchor="P165" w:history="1">
        <w:r>
          <w:rPr>
            <w:color w:val="0000FF"/>
          </w:rPr>
          <w:t>12</w:t>
        </w:r>
      </w:hyperlink>
      <w:r>
        <w:t xml:space="preserve"> указываются сведения обо всех водоносных горизонтах, предоставленных в соответствии с лицензией для геологического изучения или из которых разрешена добыча.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>Показатели в графах 3, 4 приводятся с одним знаком после запятой, в графах 5, 6 - с двумя. Если на участке недр водоносный горизонт вскрыт только одной скважиной, то глубина залегания кровли указывается в графе 3, а в графе 4 ставится прочерк. Если водоносный горизонт вскрыт несколькими скважинами, то в графе 3 указывается минимальная глубина вскрытия водоносного горизонта, в графе 4 - максимальная глубина вскрытия, в графе 5 указывается среднее значение статического уровня по всем имеющимся скважинам, в графе 6 - среднегодовое положение динамического уровня. При избыточном давлении производится пересчет в метры водяного столба и ставится плюс.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>В графе 7 для каждого водоносного горизонта указывается наименование типа минеральной воды: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>- для наружного применения,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>- лечебная,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>- лечебно-столовая,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>- столовая.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4. Сведения в </w:t>
      </w:r>
      <w:hyperlink w:anchor="P168" w:history="1">
        <w:r>
          <w:rPr>
            <w:color w:val="0000FF"/>
          </w:rPr>
          <w:t>разделах 4</w:t>
        </w:r>
      </w:hyperlink>
      <w:r>
        <w:t xml:space="preserve"> - </w:t>
      </w:r>
      <w:hyperlink w:anchor="P230" w:history="1">
        <w:r>
          <w:rPr>
            <w:color w:val="0000FF"/>
          </w:rPr>
          <w:t>7</w:t>
        </w:r>
      </w:hyperlink>
      <w:r>
        <w:t xml:space="preserve"> приводятся отдельно для каждого водоносного горизонта. Если на участке недр имеется один водоносный горизонт (заполняется только </w:t>
      </w:r>
      <w:hyperlink w:anchor="P161" w:history="1">
        <w:r>
          <w:rPr>
            <w:color w:val="0000FF"/>
          </w:rPr>
          <w:t>строка 10</w:t>
        </w:r>
      </w:hyperlink>
      <w:r>
        <w:t xml:space="preserve"> в разделе 3), то все сведения в </w:t>
      </w:r>
      <w:hyperlink w:anchor="P168" w:history="1">
        <w:r>
          <w:rPr>
            <w:color w:val="0000FF"/>
          </w:rPr>
          <w:t>разделах 4</w:t>
        </w:r>
      </w:hyperlink>
      <w:r>
        <w:t xml:space="preserve"> - </w:t>
      </w:r>
      <w:hyperlink w:anchor="P230" w:history="1">
        <w:r>
          <w:rPr>
            <w:color w:val="0000FF"/>
          </w:rPr>
          <w:t>7</w:t>
        </w:r>
      </w:hyperlink>
      <w:r>
        <w:t xml:space="preserve"> указываются только в графе "по строке 10" каждого раздела, а в графах "по строке 11", "по строке 12" ставятся прочерки. Если на участке недр имеются два водоносных горизонта (заполняются </w:t>
      </w:r>
      <w:hyperlink w:anchor="P161" w:history="1">
        <w:r>
          <w:rPr>
            <w:color w:val="0000FF"/>
          </w:rPr>
          <w:t>строки 10</w:t>
        </w:r>
      </w:hyperlink>
      <w:r>
        <w:t xml:space="preserve"> и </w:t>
      </w:r>
      <w:hyperlink w:anchor="P163" w:history="1">
        <w:r>
          <w:rPr>
            <w:color w:val="0000FF"/>
          </w:rPr>
          <w:t>11</w:t>
        </w:r>
      </w:hyperlink>
      <w:r>
        <w:t xml:space="preserve"> в разделе 3), то сведения в </w:t>
      </w:r>
      <w:hyperlink w:anchor="P168" w:history="1">
        <w:r>
          <w:rPr>
            <w:color w:val="0000FF"/>
          </w:rPr>
          <w:t>разделах 4</w:t>
        </w:r>
      </w:hyperlink>
      <w:r>
        <w:t xml:space="preserve"> - </w:t>
      </w:r>
      <w:hyperlink w:anchor="P230" w:history="1">
        <w:r>
          <w:rPr>
            <w:color w:val="0000FF"/>
          </w:rPr>
          <w:t>7</w:t>
        </w:r>
      </w:hyperlink>
      <w:r>
        <w:t xml:space="preserve"> указываются отдельно: для первого водоносного горизонта заполняется графа "по строке 10", для второго - графа "по строке 11", а в графе "по строке 12" ставятся прочерки.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5. При наличии на участке недр на один и тот же водоносный горизонт нескольких скважин одного наименования в графах 6, 8, 10 по </w:t>
      </w:r>
      <w:hyperlink w:anchor="P168" w:history="1">
        <w:r>
          <w:rPr>
            <w:color w:val="0000FF"/>
          </w:rPr>
          <w:t>разделу 4</w:t>
        </w:r>
      </w:hyperlink>
      <w:r>
        <w:t xml:space="preserve"> указывается глубина скважины с минимальной глубиной, а в графах 7, 9, 11 - с максимальной глубиной. Если на один и тот же водоносный горизонт имеется только одна скважина одного наименования, то ее глубина указывается в графах 6, 8, 10, а в графах 7, 9, 11 ставятся прочерки.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6. Показатели </w:t>
      </w:r>
      <w:hyperlink w:anchor="P168" w:history="1">
        <w:r>
          <w:rPr>
            <w:color w:val="0000FF"/>
          </w:rPr>
          <w:t>раздела 4</w:t>
        </w:r>
      </w:hyperlink>
      <w:r>
        <w:t xml:space="preserve"> (графы 6 - 11) приводятся с одним знаком после запятой, </w:t>
      </w:r>
      <w:hyperlink w:anchor="P191" w:history="1">
        <w:r>
          <w:rPr>
            <w:color w:val="0000FF"/>
          </w:rPr>
          <w:t>раздела 5</w:t>
        </w:r>
      </w:hyperlink>
      <w:r>
        <w:t xml:space="preserve"> - в целых числах.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7. В </w:t>
      </w:r>
      <w:hyperlink w:anchor="P191" w:history="1">
        <w:r>
          <w:rPr>
            <w:color w:val="0000FF"/>
          </w:rPr>
          <w:t>разделе 5</w:t>
        </w:r>
      </w:hyperlink>
      <w:r>
        <w:t xml:space="preserve"> в графах 4 - 6 приводится установленный в лицензии уровень добычи отдельно </w:t>
      </w:r>
      <w:r>
        <w:lastRenderedPageBreak/>
        <w:t xml:space="preserve">для </w:t>
      </w:r>
      <w:proofErr w:type="spellStart"/>
      <w:r>
        <w:t>бальнеоприменения</w:t>
      </w:r>
      <w:proofErr w:type="spellEnd"/>
      <w:r>
        <w:t xml:space="preserve"> по </w:t>
      </w:r>
      <w:hyperlink w:anchor="P205" w:history="1">
        <w:r>
          <w:rPr>
            <w:color w:val="0000FF"/>
          </w:rPr>
          <w:t>строке 17</w:t>
        </w:r>
      </w:hyperlink>
      <w:r>
        <w:t xml:space="preserve"> и розлива по </w:t>
      </w:r>
      <w:hyperlink w:anchor="P208" w:history="1">
        <w:r>
          <w:rPr>
            <w:color w:val="0000FF"/>
          </w:rPr>
          <w:t>строке 18</w:t>
        </w:r>
      </w:hyperlink>
      <w:r>
        <w:t xml:space="preserve"> в кубических метрах в год для каждого водоносного горизонта. В случае, если в лицензионном соглашении указан уровень добычи в кубических метрах в сутки, то пересчет производится умножением на 365, если иное не предусмотрено лицензионным соглашением. В графах 7 - 9 указывается фактический объем добычи минеральной воды отдельно для </w:t>
      </w:r>
      <w:proofErr w:type="spellStart"/>
      <w:r>
        <w:t>бальнеоприменения</w:t>
      </w:r>
      <w:proofErr w:type="spellEnd"/>
      <w:r>
        <w:t xml:space="preserve"> по </w:t>
      </w:r>
      <w:hyperlink w:anchor="P205" w:history="1">
        <w:r>
          <w:rPr>
            <w:color w:val="0000FF"/>
          </w:rPr>
          <w:t>строке 17</w:t>
        </w:r>
      </w:hyperlink>
      <w:r>
        <w:t xml:space="preserve"> и для розлива по </w:t>
      </w:r>
      <w:hyperlink w:anchor="P208" w:history="1">
        <w:r>
          <w:rPr>
            <w:color w:val="0000FF"/>
          </w:rPr>
          <w:t>строке 18</w:t>
        </w:r>
      </w:hyperlink>
      <w:r>
        <w:t xml:space="preserve"> из каждого водоносного горизонта в кубических метрах за отчетный год.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8. В </w:t>
      </w:r>
      <w:hyperlink w:anchor="P211" w:history="1">
        <w:r>
          <w:rPr>
            <w:color w:val="0000FF"/>
          </w:rPr>
          <w:t>разделе 6</w:t>
        </w:r>
      </w:hyperlink>
      <w:r>
        <w:t xml:space="preserve"> для минерализации (величина минерализации приводится в обязательном порядке) и каждого контролируемого компонента указывается среднее годовое содержание, единица измерения - мг/дм3 (миллиграмм на кубический дециметр). Для радона единица измерения - </w:t>
      </w:r>
      <w:proofErr w:type="spellStart"/>
      <w:r>
        <w:t>мки</w:t>
      </w:r>
      <w:proofErr w:type="spellEnd"/>
      <w:r>
        <w:t>/дм3 (</w:t>
      </w:r>
      <w:proofErr w:type="spellStart"/>
      <w:r>
        <w:t>милликюри</w:t>
      </w:r>
      <w:proofErr w:type="spellEnd"/>
      <w:r>
        <w:t xml:space="preserve"> на кубический дециметр).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>Показатели приводятся с двумя знаками после запятой, для радона количество знаков после запятой не ограничивается. При количестве контролируемых компонентов менее 4-х в остальных строках указываются прочерки.</w:t>
      </w:r>
    </w:p>
    <w:p w:rsidR="00B63D22" w:rsidRDefault="00B63D22">
      <w:pPr>
        <w:pStyle w:val="ConsPlusNormal"/>
        <w:spacing w:before="220"/>
        <w:ind w:firstLine="540"/>
        <w:jc w:val="both"/>
      </w:pPr>
      <w:r>
        <w:t xml:space="preserve">9. В </w:t>
      </w:r>
      <w:hyperlink w:anchor="P230" w:history="1">
        <w:r>
          <w:rPr>
            <w:color w:val="0000FF"/>
          </w:rPr>
          <w:t>разделе 7</w:t>
        </w:r>
      </w:hyperlink>
      <w:r>
        <w:t xml:space="preserve"> по </w:t>
      </w:r>
      <w:hyperlink w:anchor="P243" w:history="1">
        <w:r>
          <w:rPr>
            <w:color w:val="0000FF"/>
          </w:rPr>
          <w:t>строкам 23</w:t>
        </w:r>
      </w:hyperlink>
      <w:r>
        <w:t xml:space="preserve"> - </w:t>
      </w:r>
      <w:hyperlink w:anchor="P250" w:history="1">
        <w:r>
          <w:rPr>
            <w:color w:val="0000FF"/>
          </w:rPr>
          <w:t>25</w:t>
        </w:r>
      </w:hyperlink>
      <w:r>
        <w:t xml:space="preserve"> в графах 3 - 11 приводятся сведения о дате выдачи, номере документа и органе, выдавшем документ, о соответствии качества минеральной воды нормативным требованиям по водоносным горизонтам, указанным в </w:t>
      </w:r>
      <w:hyperlink w:anchor="P145" w:history="1">
        <w:r>
          <w:rPr>
            <w:color w:val="0000FF"/>
          </w:rPr>
          <w:t>разделе 3</w:t>
        </w:r>
      </w:hyperlink>
      <w:r>
        <w:t xml:space="preserve"> в </w:t>
      </w:r>
      <w:hyperlink w:anchor="P161" w:history="1">
        <w:r>
          <w:rPr>
            <w:color w:val="0000FF"/>
          </w:rPr>
          <w:t>строках 10</w:t>
        </w:r>
      </w:hyperlink>
      <w:r>
        <w:t xml:space="preserve"> - </w:t>
      </w:r>
      <w:hyperlink w:anchor="P165" w:history="1">
        <w:r>
          <w:rPr>
            <w:color w:val="0000FF"/>
          </w:rPr>
          <w:t>12</w:t>
        </w:r>
      </w:hyperlink>
      <w:r>
        <w:t>.</w:t>
      </w: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ind w:firstLine="540"/>
        <w:jc w:val="both"/>
      </w:pPr>
    </w:p>
    <w:p w:rsidR="00B63D22" w:rsidRDefault="00B63D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476" w:rsidRDefault="00A71476"/>
    <w:sectPr w:rsidR="00A71476" w:rsidSect="0039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22"/>
    <w:rsid w:val="00A71476"/>
    <w:rsid w:val="00B6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2E6F"/>
  <w15:chartTrackingRefBased/>
  <w15:docId w15:val="{7BDA252C-227F-41B0-A85B-091388AB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3D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3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3D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63D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AE128DCF2BDF9177F7EFB965C01B1953B4E2E1A0D633C225E0388BEA2FE7A6A12F7C28E245BB0B32E06B727431B17B42E84646B0988r9a9N" TargetMode="External"/><Relationship Id="rId13" Type="http://schemas.openxmlformats.org/officeDocument/2006/relationships/hyperlink" Target="consultantplus://offline/ref=7BCAE128DCF2BDF9177F7EFB965C01B1953F4D21170F3E362A070F8AB9ADA16D6D5BFBC38E245BBEBE7103A2361B1715A930817F770B8991r2a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AE128DCF2BDF9177F7EFB965C01B1953D4B221A023E362A070F8AB9ADA16D6D5BFBC38E255ABEB17103A2361B1715A930817F770B8991r2aCN" TargetMode="External"/><Relationship Id="rId12" Type="http://schemas.openxmlformats.org/officeDocument/2006/relationships/hyperlink" Target="consultantplus://offline/ref=7BCAE128DCF2BDF9177F7EFB965C01B1953F4D21170F3E362A070F8AB9ADA16D6D5BFBC38E245BBCBB7103A2361B1715A930817F770B8991r2a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AE128DCF2BDF9177F7EFB965C01B19F3F4C25160D633C225E0388BEA2FE686A4AFBC38D3A5BBDA67857F2r7aBN" TargetMode="External"/><Relationship Id="rId11" Type="http://schemas.openxmlformats.org/officeDocument/2006/relationships/hyperlink" Target="consultantplus://offline/ref=7BCAE128DCF2BDF9177F7EFB965C01B1953F4D21170F3E362A070F8AB9ADA16D6D5BFBC38E245AB0B97103A2361B1715A930817F770B8991r2aCN" TargetMode="External"/><Relationship Id="rId5" Type="http://schemas.openxmlformats.org/officeDocument/2006/relationships/hyperlink" Target="consultantplus://offline/ref=7BCAE128DCF2BDF9177F7EFB965C01B1953D4B2E10053E362A070F8AB9ADA16D6D5BFBC38E255FBABC7103A2361B1715A930817F770B8991r2aC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CAE128DCF2BDF9177F7EFB965C01B1953F4D21170F3E362A070F8AB9ADA16D6D5BFBC38E245BBCBB7103A2361B1715A930817F770B8991r2aCN" TargetMode="External"/><Relationship Id="rId4" Type="http://schemas.openxmlformats.org/officeDocument/2006/relationships/hyperlink" Target="consultantplus://offline/ref=7BCAE128DCF2BDF9177F7EFB965C01B1953D482517033E362A070F8AB9ADA16D6D5BFBC38E245BBBBA7103A2361B1715A930817F770B8991r2aCN" TargetMode="External"/><Relationship Id="rId9" Type="http://schemas.openxmlformats.org/officeDocument/2006/relationships/hyperlink" Target="consultantplus://offline/ref=7BCAE128DCF2BDF9177F7EFB965C01B1953D4B2411053E362A070F8AB9ADA16D7F5BA3CF8F2745B8BD6455F373r4a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t.chechkova@pfo-nedra.ru</dc:creator>
  <cp:keywords/>
  <dc:description/>
  <cp:lastModifiedBy>t.chechkova@pfo-nedra.ru</cp:lastModifiedBy>
  <cp:revision>1</cp:revision>
  <dcterms:created xsi:type="dcterms:W3CDTF">2019-05-13T13:26:00Z</dcterms:created>
  <dcterms:modified xsi:type="dcterms:W3CDTF">2019-05-13T13:27:00Z</dcterms:modified>
</cp:coreProperties>
</file>